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D9D2" w14:textId="7C0997AD" w:rsidR="00FD4625" w:rsidRPr="00FD4625" w:rsidRDefault="00C30DE0" w:rsidP="00FD4625">
      <w:pPr>
        <w:spacing w:after="0"/>
        <w:rPr>
          <w:rFonts w:asciiTheme="minorBidi" w:hAnsiTheme="minorBidi"/>
        </w:rPr>
      </w:pPr>
      <w:r w:rsidRPr="00D1598C">
        <w:rPr>
          <w:rFonts w:asciiTheme="minorBidi" w:hAnsiTheme="minorBidi"/>
          <w:b/>
          <w:bCs/>
        </w:rPr>
        <w:drawing>
          <wp:anchor distT="0" distB="0" distL="114300" distR="114300" simplePos="0" relativeHeight="251658240" behindDoc="0" locked="0" layoutInCell="1" allowOverlap="1" wp14:anchorId="7668477A" wp14:editId="1A6ADBA8">
            <wp:simplePos x="0" y="0"/>
            <wp:positionH relativeFrom="margin">
              <wp:posOffset>4286250</wp:posOffset>
            </wp:positionH>
            <wp:positionV relativeFrom="paragraph">
              <wp:posOffset>0</wp:posOffset>
            </wp:positionV>
            <wp:extent cx="2286000" cy="2371725"/>
            <wp:effectExtent l="0" t="0" r="0" b="9525"/>
            <wp:wrapSquare wrapText="bothSides"/>
            <wp:docPr id="1584375965" name="Picture 1" descr="A poster with a hand and a red bracel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375965" name="Picture 1" descr="A poster with a hand and a red bracele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625" w:rsidRPr="007A4435">
        <w:rPr>
          <w:rFonts w:asciiTheme="minorBidi" w:hAnsiTheme="minorBidi"/>
          <w:b/>
          <w:bCs/>
        </w:rPr>
        <w:t>Penicillin Allergy</w:t>
      </w:r>
      <w:r w:rsidR="00FD4625" w:rsidRPr="00D22904">
        <w:rPr>
          <w:rFonts w:asciiTheme="minorBidi" w:hAnsiTheme="minorBidi"/>
          <w:b/>
          <w:bCs/>
        </w:rPr>
        <w:t xml:space="preserve"> De-Labelling (PADL)</w:t>
      </w:r>
    </w:p>
    <w:p w14:paraId="517405A2" w14:textId="4A961DFF" w:rsidR="00FD4625" w:rsidRPr="00D22904" w:rsidRDefault="00FD4625" w:rsidP="00FD4625">
      <w:pPr>
        <w:spacing w:after="0"/>
        <w:rPr>
          <w:rFonts w:asciiTheme="minorBidi" w:hAnsiTheme="minorBidi"/>
        </w:rPr>
      </w:pPr>
      <w:r w:rsidRPr="007A4435">
        <w:rPr>
          <w:rFonts w:asciiTheme="minorBidi" w:hAnsiTheme="minorBidi"/>
        </w:rPr>
        <w:t>Around 10% of patients in the UK report a penicillin allergy, yet studies show that over 90% of these labels are incorrect. Mislabelled penicillin allergies can lead to the use of less effective, broader-spectrum antibiotics, increasing the risk of antimicrobial resistance (AMR), treatment failure, and healthcare-associated infections such as </w:t>
      </w:r>
      <w:proofErr w:type="spellStart"/>
      <w:r w:rsidRPr="007A4435">
        <w:rPr>
          <w:rFonts w:asciiTheme="minorBidi" w:hAnsiTheme="minorBidi"/>
        </w:rPr>
        <w:t>Clostridioides</w:t>
      </w:r>
      <w:proofErr w:type="spellEnd"/>
      <w:r w:rsidRPr="007A4435">
        <w:rPr>
          <w:rFonts w:asciiTheme="minorBidi" w:hAnsiTheme="minorBidi"/>
        </w:rPr>
        <w:t xml:space="preserve"> difficile.</w:t>
      </w:r>
    </w:p>
    <w:p w14:paraId="2292977A" w14:textId="77777777" w:rsidR="00A0145A" w:rsidRDefault="00A0145A" w:rsidP="00685A45">
      <w:pPr>
        <w:spacing w:after="0"/>
        <w:rPr>
          <w:rFonts w:asciiTheme="minorBidi" w:hAnsiTheme="minorBidi"/>
          <w:b/>
          <w:bCs/>
        </w:rPr>
      </w:pPr>
    </w:p>
    <w:p w14:paraId="4EC8621B" w14:textId="25CCD383" w:rsidR="00D45259" w:rsidRDefault="006861F9" w:rsidP="00685A45">
      <w:pPr>
        <w:spacing w:after="0"/>
        <w:rPr>
          <w:rFonts w:asciiTheme="minorBidi" w:hAnsiTheme="minorBidi"/>
        </w:rPr>
      </w:pPr>
      <w:r w:rsidRPr="00C602F1">
        <w:rPr>
          <w:rFonts w:asciiTheme="minorBidi" w:hAnsiTheme="minorBidi"/>
          <w:b/>
          <w:bCs/>
        </w:rPr>
        <w:t>Download</w:t>
      </w:r>
      <w:r w:rsidR="0022568C" w:rsidRPr="00C602F1">
        <w:rPr>
          <w:rFonts w:asciiTheme="minorBidi" w:hAnsiTheme="minorBidi"/>
          <w:b/>
          <w:bCs/>
        </w:rPr>
        <w:t>, promote and share the</w:t>
      </w:r>
      <w:r w:rsidR="009D4677">
        <w:rPr>
          <w:rFonts w:asciiTheme="minorBidi" w:hAnsiTheme="minorBidi"/>
          <w:b/>
          <w:bCs/>
        </w:rPr>
        <w:t xml:space="preserve"> </w:t>
      </w:r>
      <w:hyperlink r:id="rId6" w:history="1">
        <w:r w:rsidR="00C602F1">
          <w:rPr>
            <w:rStyle w:val="Hyperlink"/>
            <w:rFonts w:asciiTheme="minorBidi" w:hAnsiTheme="minorBidi"/>
          </w:rPr>
          <w:t>Poster</w:t>
        </w:r>
      </w:hyperlink>
    </w:p>
    <w:p w14:paraId="5268D23D" w14:textId="77777777" w:rsidR="003B007C" w:rsidRDefault="003B007C" w:rsidP="00685A45">
      <w:pPr>
        <w:spacing w:after="0"/>
        <w:rPr>
          <w:rFonts w:asciiTheme="minorBidi" w:hAnsiTheme="minorBidi"/>
          <w:b/>
          <w:bCs/>
        </w:rPr>
      </w:pPr>
    </w:p>
    <w:p w14:paraId="3C4E183E" w14:textId="548D7907" w:rsidR="007A4435" w:rsidRPr="00685A45" w:rsidRDefault="007A4435" w:rsidP="00685A45">
      <w:pPr>
        <w:spacing w:after="0"/>
        <w:rPr>
          <w:rFonts w:asciiTheme="minorBidi" w:hAnsiTheme="minorBidi"/>
        </w:rPr>
      </w:pPr>
      <w:r w:rsidRPr="00162D3B">
        <w:rPr>
          <w:rFonts w:asciiTheme="minorBidi" w:hAnsiTheme="minorBidi"/>
          <w:b/>
          <w:bCs/>
        </w:rPr>
        <w:t>Why it matters:</w:t>
      </w:r>
    </w:p>
    <w:p w14:paraId="31DF9567" w14:textId="77777777" w:rsidR="00732CC8" w:rsidRPr="00162D3B" w:rsidRDefault="00732CC8" w:rsidP="00D22904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</w:rPr>
      </w:pPr>
      <w:r w:rsidRPr="00162D3B">
        <w:rPr>
          <w:rFonts w:asciiTheme="minorBidi" w:hAnsiTheme="minorBidi"/>
        </w:rPr>
        <w:t>Patients labelled as penicillin-allergic are often prescribed second-line antibiotics, which may be broader-spectrum and less targeted.</w:t>
      </w:r>
    </w:p>
    <w:p w14:paraId="5B775A89" w14:textId="6C36A576" w:rsidR="00732CC8" w:rsidRPr="00162D3B" w:rsidRDefault="00732CC8" w:rsidP="00D22904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</w:rPr>
      </w:pPr>
      <w:r w:rsidRPr="00162D3B">
        <w:rPr>
          <w:rFonts w:asciiTheme="minorBidi" w:hAnsiTheme="minorBidi"/>
        </w:rPr>
        <w:t xml:space="preserve">These alternatives can be less effective, </w:t>
      </w:r>
      <w:r w:rsidR="005F0FDA">
        <w:rPr>
          <w:rFonts w:asciiTheme="minorBidi" w:hAnsiTheme="minorBidi"/>
        </w:rPr>
        <w:t xml:space="preserve">cause </w:t>
      </w:r>
      <w:r w:rsidRPr="00162D3B">
        <w:rPr>
          <w:rFonts w:asciiTheme="minorBidi" w:hAnsiTheme="minorBidi"/>
        </w:rPr>
        <w:t xml:space="preserve">more </w:t>
      </w:r>
      <w:r w:rsidR="00FF0570" w:rsidRPr="00162D3B">
        <w:rPr>
          <w:rFonts w:asciiTheme="minorBidi" w:hAnsiTheme="minorBidi"/>
        </w:rPr>
        <w:t xml:space="preserve">adverse </w:t>
      </w:r>
      <w:r w:rsidR="00162D3B" w:rsidRPr="00162D3B">
        <w:rPr>
          <w:rFonts w:asciiTheme="minorBidi" w:hAnsiTheme="minorBidi"/>
        </w:rPr>
        <w:t>effects</w:t>
      </w:r>
      <w:r w:rsidRPr="00162D3B">
        <w:rPr>
          <w:rFonts w:asciiTheme="minorBidi" w:hAnsiTheme="minorBidi"/>
        </w:rPr>
        <w:t>, and contribute to the development of antimicrobial resistance (AMR).</w:t>
      </w:r>
    </w:p>
    <w:p w14:paraId="45A46904" w14:textId="43C8EA72" w:rsidR="007A4435" w:rsidRPr="00162D3B" w:rsidRDefault="00732CC8" w:rsidP="00D22904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</w:rPr>
      </w:pPr>
      <w:r w:rsidRPr="00162D3B">
        <w:rPr>
          <w:rFonts w:asciiTheme="minorBidi" w:hAnsiTheme="minorBidi"/>
        </w:rPr>
        <w:t>Structured allergy assessments and appropriate de-labelling can optimise antibiotic use, improve patient safety, and help preserve the efficacy of first-line treatments.</w:t>
      </w:r>
    </w:p>
    <w:p w14:paraId="3D623E3C" w14:textId="77777777" w:rsidR="00732CC8" w:rsidRPr="00D22904" w:rsidRDefault="00732CC8" w:rsidP="00732CC8">
      <w:pPr>
        <w:spacing w:after="0"/>
        <w:rPr>
          <w:rFonts w:asciiTheme="minorBidi" w:hAnsiTheme="minorBidi"/>
        </w:rPr>
      </w:pPr>
    </w:p>
    <w:p w14:paraId="7F3A78E5" w14:textId="05378126" w:rsidR="00732CC8" w:rsidRPr="00732CC8" w:rsidRDefault="00732CC8" w:rsidP="00732CC8">
      <w:pPr>
        <w:spacing w:after="0"/>
        <w:rPr>
          <w:rFonts w:asciiTheme="minorBidi" w:hAnsiTheme="minorBidi"/>
          <w:b/>
          <w:bCs/>
        </w:rPr>
      </w:pPr>
      <w:r w:rsidRPr="00732CC8">
        <w:rPr>
          <w:rFonts w:asciiTheme="minorBidi" w:hAnsiTheme="minorBidi"/>
          <w:b/>
          <w:bCs/>
        </w:rPr>
        <w:t>What You Can Do</w:t>
      </w:r>
    </w:p>
    <w:p w14:paraId="013CF11E" w14:textId="325C7FCC" w:rsidR="00732CC8" w:rsidRPr="00D22904" w:rsidRDefault="00732CC8" w:rsidP="00D22904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</w:rPr>
      </w:pPr>
      <w:r w:rsidRPr="00D22904">
        <w:rPr>
          <w:rFonts w:asciiTheme="minorBidi" w:hAnsiTheme="minorBidi"/>
        </w:rPr>
        <w:t xml:space="preserve">Take a detailed allergy history in line with </w:t>
      </w:r>
      <w:hyperlink r:id="rId7" w:history="1">
        <w:r w:rsidRPr="00D22904">
          <w:rPr>
            <w:rStyle w:val="Hyperlink"/>
            <w:rFonts w:asciiTheme="minorBidi" w:hAnsiTheme="minorBidi"/>
          </w:rPr>
          <w:t>NICE CG183</w:t>
        </w:r>
      </w:hyperlink>
      <w:r w:rsidRPr="00D22904">
        <w:rPr>
          <w:rFonts w:asciiTheme="minorBidi" w:hAnsiTheme="minorBidi"/>
        </w:rPr>
        <w:t xml:space="preserve"> —clarify the nature, timing, and severity of reported reactions.</w:t>
      </w:r>
    </w:p>
    <w:p w14:paraId="4C953ED1" w14:textId="19811DE0" w:rsidR="00D22904" w:rsidRPr="00D22904" w:rsidRDefault="00D22904" w:rsidP="00D22904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</w:rPr>
      </w:pPr>
      <w:r w:rsidRPr="00D22904">
        <w:rPr>
          <w:rFonts w:asciiTheme="minorBidi" w:hAnsiTheme="minorBidi"/>
        </w:rPr>
        <w:t>Identify and support local champions for penicillin allergy de-labelling.</w:t>
      </w:r>
    </w:p>
    <w:p w14:paraId="656A8B90" w14:textId="4542FF57" w:rsidR="00745A4E" w:rsidRDefault="00745A4E" w:rsidP="00D22904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</w:rPr>
      </w:pPr>
      <w:r w:rsidRPr="00D22904">
        <w:rPr>
          <w:rFonts w:asciiTheme="minorBidi" w:hAnsiTheme="minorBidi"/>
        </w:rPr>
        <w:t>Identify patients with penicillin allerg</w:t>
      </w:r>
      <w:r w:rsidR="00045386">
        <w:rPr>
          <w:rFonts w:asciiTheme="minorBidi" w:hAnsiTheme="minorBidi"/>
        </w:rPr>
        <w:t>y</w:t>
      </w:r>
      <w:r w:rsidRPr="00D22904">
        <w:rPr>
          <w:rFonts w:asciiTheme="minorBidi" w:hAnsiTheme="minorBidi"/>
        </w:rPr>
        <w:t>, assessing their drug allergy history,</w:t>
      </w:r>
      <w:r w:rsidR="00D22904" w:rsidRPr="00D22904">
        <w:rPr>
          <w:rFonts w:asciiTheme="minorBidi" w:hAnsiTheme="minorBidi"/>
        </w:rPr>
        <w:t xml:space="preserve"> </w:t>
      </w:r>
      <w:r w:rsidRPr="00D22904">
        <w:rPr>
          <w:rFonts w:asciiTheme="minorBidi" w:hAnsiTheme="minorBidi"/>
        </w:rPr>
        <w:t>evaluating their risk and priority for de-labelling, and proceeding with de-belling where appropriate or refer to non- specialist PADL service in your local hospital.</w:t>
      </w:r>
    </w:p>
    <w:p w14:paraId="10FB7CE0" w14:textId="2E95EF9E" w:rsidR="00247BEF" w:rsidRPr="00D22904" w:rsidRDefault="00247BEF" w:rsidP="006826D9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Set up</w:t>
      </w:r>
      <w:r w:rsidR="009E0977">
        <w:rPr>
          <w:rFonts w:asciiTheme="minorBidi" w:hAnsiTheme="minorBidi"/>
        </w:rPr>
        <w:t xml:space="preserve"> a non-specialist PADL service</w:t>
      </w:r>
      <w:r w:rsidR="006826D9">
        <w:rPr>
          <w:rFonts w:asciiTheme="minorBidi" w:hAnsiTheme="minorBidi"/>
        </w:rPr>
        <w:t xml:space="preserve"> </w:t>
      </w:r>
      <w:hyperlink r:id="rId8" w:history="1">
        <w:r w:rsidR="00E51524">
          <w:rPr>
            <w:rStyle w:val="Hyperlink"/>
            <w:rFonts w:asciiTheme="minorBidi" w:hAnsiTheme="minorBidi"/>
          </w:rPr>
          <w:t>BSACI guideline for the set</w:t>
        </w:r>
        <w:r w:rsidR="00E51524">
          <w:rPr>
            <w:rStyle w:val="Hyperlink"/>
            <w:rFonts w:ascii="Cambria Math" w:hAnsi="Cambria Math" w:cs="Cambria Math"/>
          </w:rPr>
          <w:t>‐</w:t>
        </w:r>
        <w:r w:rsidR="00E51524">
          <w:rPr>
            <w:rStyle w:val="Hyperlink"/>
            <w:rFonts w:asciiTheme="minorBidi" w:hAnsiTheme="minorBidi"/>
          </w:rPr>
          <w:t>up of penicillin allergy de</w:t>
        </w:r>
        <w:r w:rsidR="00E51524">
          <w:rPr>
            <w:rStyle w:val="Hyperlink"/>
            <w:rFonts w:ascii="Cambria Math" w:hAnsi="Cambria Math" w:cs="Cambria Math"/>
          </w:rPr>
          <w:t>‐</w:t>
        </w:r>
        <w:r w:rsidR="00E51524">
          <w:rPr>
            <w:rStyle w:val="Hyperlink"/>
            <w:rFonts w:asciiTheme="minorBidi" w:hAnsiTheme="minorBidi"/>
          </w:rPr>
          <w:t>labelling services by non</w:t>
        </w:r>
        <w:r w:rsidR="00E51524">
          <w:rPr>
            <w:rStyle w:val="Hyperlink"/>
            <w:rFonts w:ascii="Cambria Math" w:hAnsi="Cambria Math" w:cs="Cambria Math"/>
          </w:rPr>
          <w:t>‐</w:t>
        </w:r>
        <w:r w:rsidR="00E51524">
          <w:rPr>
            <w:rStyle w:val="Hyperlink"/>
            <w:rFonts w:asciiTheme="minorBidi" w:hAnsiTheme="minorBidi"/>
          </w:rPr>
          <w:t xml:space="preserve">allergists working in a hospital setting </w:t>
        </w:r>
      </w:hyperlink>
    </w:p>
    <w:p w14:paraId="53672BAA" w14:textId="24C5CB65" w:rsidR="00745A4E" w:rsidRDefault="00732CC8" w:rsidP="00225F34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</w:rPr>
      </w:pPr>
      <w:r w:rsidRPr="00D22904">
        <w:rPr>
          <w:rFonts w:asciiTheme="minorBidi" w:hAnsiTheme="minorBidi"/>
        </w:rPr>
        <w:t>Engage patients in the process</w:t>
      </w:r>
      <w:r w:rsidR="00D22904" w:rsidRPr="00D22904">
        <w:rPr>
          <w:rFonts w:asciiTheme="minorBidi" w:hAnsiTheme="minorBidi"/>
        </w:rPr>
        <w:t xml:space="preserve">, </w:t>
      </w:r>
      <w:r w:rsidRPr="00D22904">
        <w:rPr>
          <w:rFonts w:asciiTheme="minorBidi" w:hAnsiTheme="minorBidi"/>
        </w:rPr>
        <w:t>explain the value of accurate allergy documentation and how reassessment can lead to safer, more effective treatment options.</w:t>
      </w:r>
    </w:p>
    <w:p w14:paraId="74EAF894" w14:textId="77777777" w:rsidR="00225F34" w:rsidRPr="00225F34" w:rsidRDefault="00225F34" w:rsidP="00225F34">
      <w:pPr>
        <w:pStyle w:val="ListParagraph"/>
        <w:spacing w:after="0"/>
        <w:rPr>
          <w:rFonts w:asciiTheme="minorBidi" w:hAnsiTheme="minorBidi"/>
        </w:rPr>
      </w:pPr>
    </w:p>
    <w:p w14:paraId="27B2C2AF" w14:textId="2D69EAF3" w:rsidR="00D45AEF" w:rsidRPr="00D22904" w:rsidRDefault="00D45AEF" w:rsidP="00BD4C61">
      <w:pPr>
        <w:spacing w:after="0"/>
        <w:rPr>
          <w:rFonts w:asciiTheme="minorBidi" w:hAnsiTheme="minorBidi"/>
        </w:rPr>
      </w:pPr>
      <w:r w:rsidRPr="00D45AEF">
        <w:rPr>
          <w:rFonts w:asciiTheme="minorBidi" w:hAnsiTheme="minorBidi"/>
          <w:b/>
          <w:bCs/>
        </w:rPr>
        <w:t>Key Message</w:t>
      </w:r>
      <w:r w:rsidRPr="00D45AEF">
        <w:rPr>
          <w:rFonts w:asciiTheme="minorBidi" w:hAnsiTheme="minorBidi"/>
        </w:rPr>
        <w:t>: Addressing spurious penicillin allergy labels is a high-impact, low-cost intervention that supports safer, more effective, and more sustainable antibiotic use.</w:t>
      </w:r>
    </w:p>
    <w:p w14:paraId="0043AB70" w14:textId="0E1E7B7D" w:rsidR="00D45AEF" w:rsidRPr="00D45AEF" w:rsidRDefault="008C1DE0" w:rsidP="008C1DE0">
      <w:pPr>
        <w:spacing w:after="0"/>
        <w:rPr>
          <w:rFonts w:asciiTheme="minorBidi" w:hAnsiTheme="minorBidi"/>
        </w:rPr>
      </w:pPr>
      <w:r w:rsidRPr="008C1DE0">
        <w:rPr>
          <w:rFonts w:asciiTheme="minorBidi" w:hAnsiTheme="minorBidi"/>
        </w:rPr>
        <w:t>While PADL continues to be developed for 2025–2026, a wide range of resources is already available to support both primary and secondary care settings</w:t>
      </w:r>
      <w:r w:rsidRPr="008C1DE0">
        <w:rPr>
          <w:rFonts w:asciiTheme="minorBidi" w:hAnsiTheme="minorBidi"/>
        </w:rPr>
        <w:t xml:space="preserve"> </w:t>
      </w:r>
      <w:r w:rsidR="009400B2" w:rsidRPr="00D22904">
        <w:rPr>
          <w:rFonts w:asciiTheme="minorBidi" w:hAnsiTheme="minorBidi"/>
        </w:rPr>
        <w:t>on</w:t>
      </w:r>
      <w:r w:rsidR="00D22904">
        <w:rPr>
          <w:rFonts w:asciiTheme="minorBidi" w:hAnsiTheme="minorBidi"/>
        </w:rPr>
        <w:t xml:space="preserve"> </w:t>
      </w:r>
      <w:r w:rsidR="009400B2" w:rsidRPr="00D22904">
        <w:rPr>
          <w:rFonts w:asciiTheme="minorBidi" w:hAnsiTheme="minorBidi"/>
        </w:rPr>
        <w:t>the</w:t>
      </w:r>
      <w:r w:rsidR="00D45AEF" w:rsidRPr="00D22904">
        <w:rPr>
          <w:rFonts w:asciiTheme="minorBidi" w:hAnsiTheme="minorBidi"/>
        </w:rPr>
        <w:t xml:space="preserve"> </w:t>
      </w:r>
      <w:hyperlink r:id="rId9" w:history="1">
        <w:r w:rsidR="00FA62AB">
          <w:rPr>
            <w:rStyle w:val="Hyperlink"/>
            <w:rFonts w:asciiTheme="minorBidi" w:hAnsiTheme="minorBidi"/>
          </w:rPr>
          <w:t>Futures</w:t>
        </w:r>
      </w:hyperlink>
      <w:r w:rsidR="00320B27">
        <w:t xml:space="preserve"> </w:t>
      </w:r>
      <w:r w:rsidR="00320B27" w:rsidRPr="00320B27">
        <w:rPr>
          <w:rFonts w:asciiTheme="minorBidi" w:hAnsiTheme="minorBidi"/>
        </w:rPr>
        <w:t>platform.</w:t>
      </w:r>
    </w:p>
    <w:p w14:paraId="238B82DE" w14:textId="3191E373" w:rsidR="00F03E42" w:rsidRPr="00C96DD7" w:rsidRDefault="001278A8" w:rsidP="00C96DD7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Available now</w:t>
      </w:r>
      <w:r w:rsidR="00927861">
        <w:rPr>
          <w:rFonts w:asciiTheme="minorBidi" w:hAnsiTheme="minorBidi"/>
          <w:b/>
          <w:bCs/>
        </w:rPr>
        <w:t xml:space="preserve"> -</w:t>
      </w:r>
      <w:r w:rsidR="00F03E42" w:rsidRPr="00F03E42">
        <w:rPr>
          <w:rFonts w:asciiTheme="minorBidi" w:hAnsiTheme="minorBidi"/>
        </w:rPr>
        <w:t>The ALABAMA (</w:t>
      </w:r>
      <w:proofErr w:type="spellStart"/>
      <w:r w:rsidR="00F03E42" w:rsidRPr="00F03E42">
        <w:rPr>
          <w:rFonts w:asciiTheme="minorBidi" w:hAnsiTheme="minorBidi"/>
        </w:rPr>
        <w:t>ALlergy</w:t>
      </w:r>
      <w:proofErr w:type="spellEnd"/>
      <w:r w:rsidR="00F03E42" w:rsidRPr="00F03E42">
        <w:rPr>
          <w:rFonts w:asciiTheme="minorBidi" w:hAnsiTheme="minorBidi"/>
        </w:rPr>
        <w:t xml:space="preserve">, </w:t>
      </w:r>
      <w:proofErr w:type="spellStart"/>
      <w:r w:rsidR="00F03E42" w:rsidRPr="00F03E42">
        <w:rPr>
          <w:rFonts w:asciiTheme="minorBidi" w:hAnsiTheme="minorBidi"/>
        </w:rPr>
        <w:t>AntiBiotics</w:t>
      </w:r>
      <w:proofErr w:type="spellEnd"/>
      <w:r w:rsidR="00F03E42" w:rsidRPr="00F03E42">
        <w:rPr>
          <w:rFonts w:asciiTheme="minorBidi" w:hAnsiTheme="minorBidi"/>
        </w:rPr>
        <w:t xml:space="preserve"> And Microbial </w:t>
      </w:r>
      <w:proofErr w:type="spellStart"/>
      <w:r w:rsidR="00F03E42" w:rsidRPr="00F03E42">
        <w:rPr>
          <w:rFonts w:asciiTheme="minorBidi" w:hAnsiTheme="minorBidi"/>
        </w:rPr>
        <w:t>resistAnce</w:t>
      </w:r>
      <w:proofErr w:type="spellEnd"/>
      <w:r w:rsidR="00F03E42" w:rsidRPr="00F03E42">
        <w:rPr>
          <w:rFonts w:asciiTheme="minorBidi" w:hAnsiTheme="minorBidi"/>
        </w:rPr>
        <w:t>) trial results have been published in The Lancet Primary Care journal</w:t>
      </w:r>
      <w:r w:rsidR="00F03E42" w:rsidRPr="00F03E42">
        <w:rPr>
          <w:rFonts w:asciiTheme="minorBidi" w:hAnsiTheme="minorBidi"/>
          <w:b/>
          <w:bCs/>
        </w:rPr>
        <w:t xml:space="preserve"> </w:t>
      </w:r>
      <w:hyperlink r:id="rId10" w:history="1">
        <w:r w:rsidR="00E0482C" w:rsidRPr="00FA62AB">
          <w:rPr>
            <w:rStyle w:val="Hyperlink"/>
            <w:rFonts w:asciiTheme="minorBidi" w:hAnsiTheme="minorBidi"/>
          </w:rPr>
          <w:t>ALABAMA</w:t>
        </w:r>
      </w:hyperlink>
      <w:r w:rsidR="00F03E42" w:rsidRPr="00F03E42">
        <w:rPr>
          <w:rFonts w:asciiTheme="minorBidi" w:hAnsiTheme="minorBidi"/>
        </w:rPr>
        <w:t> </w:t>
      </w:r>
    </w:p>
    <w:p w14:paraId="5591444E" w14:textId="49BAF3F3" w:rsidR="007A4435" w:rsidRPr="00D22904" w:rsidRDefault="00A4310E" w:rsidP="00D2290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A</w:t>
      </w:r>
      <w:r w:rsidR="00074407">
        <w:rPr>
          <w:rFonts w:asciiTheme="minorBidi" w:hAnsiTheme="minorBidi"/>
          <w:b/>
          <w:bCs/>
        </w:rPr>
        <w:t xml:space="preserve">vailable </w:t>
      </w:r>
      <w:r>
        <w:rPr>
          <w:rFonts w:asciiTheme="minorBidi" w:hAnsiTheme="minorBidi"/>
          <w:b/>
          <w:bCs/>
        </w:rPr>
        <w:t xml:space="preserve">soon </w:t>
      </w:r>
      <w:r w:rsidR="00074407">
        <w:rPr>
          <w:rFonts w:asciiTheme="minorBidi" w:hAnsiTheme="minorBidi"/>
          <w:b/>
          <w:bCs/>
        </w:rPr>
        <w:t>on Futures</w:t>
      </w:r>
    </w:p>
    <w:p w14:paraId="38EEE9D0" w14:textId="761541AC" w:rsidR="00745A4E" w:rsidRPr="00D22904" w:rsidRDefault="00745A4E" w:rsidP="00D22904">
      <w:pPr>
        <w:pStyle w:val="ListParagraph"/>
        <w:numPr>
          <w:ilvl w:val="0"/>
          <w:numId w:val="11"/>
        </w:numPr>
        <w:spacing w:after="0"/>
        <w:rPr>
          <w:rFonts w:asciiTheme="minorBidi" w:hAnsiTheme="minorBidi"/>
        </w:rPr>
      </w:pPr>
      <w:r w:rsidRPr="00D22904">
        <w:rPr>
          <w:rFonts w:asciiTheme="minorBidi" w:hAnsiTheme="minorBidi"/>
        </w:rPr>
        <w:t>A standardised training model to support non-specialist</w:t>
      </w:r>
      <w:r w:rsidR="00D22904" w:rsidRPr="00D22904">
        <w:rPr>
          <w:rFonts w:asciiTheme="minorBidi" w:hAnsiTheme="minorBidi"/>
        </w:rPr>
        <w:t xml:space="preserve"> </w:t>
      </w:r>
      <w:r w:rsidRPr="00D22904">
        <w:rPr>
          <w:rFonts w:asciiTheme="minorBidi" w:hAnsiTheme="minorBidi"/>
        </w:rPr>
        <w:t>healthcare professionals in safely performing de-labelling</w:t>
      </w:r>
      <w:r w:rsidR="00D22904" w:rsidRPr="00D22904">
        <w:rPr>
          <w:rFonts w:asciiTheme="minorBidi" w:hAnsiTheme="minorBidi"/>
        </w:rPr>
        <w:t>.</w:t>
      </w:r>
    </w:p>
    <w:p w14:paraId="7A5ADB44" w14:textId="74E753E9" w:rsidR="00745A4E" w:rsidRPr="00774798" w:rsidRDefault="00D22904" w:rsidP="00D22904">
      <w:pPr>
        <w:pStyle w:val="ListParagraph"/>
        <w:numPr>
          <w:ilvl w:val="0"/>
          <w:numId w:val="11"/>
        </w:numPr>
        <w:spacing w:after="0"/>
        <w:rPr>
          <w:rFonts w:asciiTheme="minorBidi" w:hAnsiTheme="minorBidi"/>
          <w:b/>
          <w:bCs/>
        </w:rPr>
      </w:pPr>
      <w:r w:rsidRPr="00D22904">
        <w:rPr>
          <w:rFonts w:asciiTheme="minorBidi" w:hAnsiTheme="minorBidi"/>
        </w:rPr>
        <w:t>A</w:t>
      </w:r>
      <w:r w:rsidR="00745A4E" w:rsidRPr="00D22904">
        <w:rPr>
          <w:rFonts w:asciiTheme="minorBidi" w:hAnsiTheme="minorBidi"/>
        </w:rPr>
        <w:t xml:space="preserve"> global IT policy and strategy for penicillin allergy guidelines</w:t>
      </w:r>
      <w:r w:rsidR="00B532F4">
        <w:rPr>
          <w:rFonts w:asciiTheme="minorBidi" w:hAnsiTheme="minorBidi"/>
        </w:rPr>
        <w:t>.</w:t>
      </w:r>
    </w:p>
    <w:p w14:paraId="7B0B0815" w14:textId="656B93E7" w:rsidR="00774798" w:rsidRPr="00D22904" w:rsidRDefault="00774798" w:rsidP="00D22904">
      <w:pPr>
        <w:pStyle w:val="ListParagraph"/>
        <w:numPr>
          <w:ilvl w:val="0"/>
          <w:numId w:val="11"/>
        </w:num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</w:rPr>
        <w:t>A range of</w:t>
      </w:r>
      <w:r w:rsidR="00C618DC">
        <w:rPr>
          <w:rFonts w:asciiTheme="minorBidi" w:hAnsiTheme="minorBidi"/>
        </w:rPr>
        <w:t xml:space="preserve"> nationally</w:t>
      </w:r>
      <w:r>
        <w:rPr>
          <w:rFonts w:asciiTheme="minorBidi" w:hAnsiTheme="minorBidi"/>
        </w:rPr>
        <w:t xml:space="preserve"> agreed information from Scotland and Wales. </w:t>
      </w:r>
    </w:p>
    <w:sectPr w:rsidR="00774798" w:rsidRPr="00D22904" w:rsidSect="00240EA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330A1"/>
    <w:multiLevelType w:val="hybridMultilevel"/>
    <w:tmpl w:val="7ADEFAF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A1184"/>
    <w:multiLevelType w:val="hybridMultilevel"/>
    <w:tmpl w:val="63ECD5F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E7AEE"/>
    <w:multiLevelType w:val="multilevel"/>
    <w:tmpl w:val="0044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9907B8"/>
    <w:multiLevelType w:val="hybridMultilevel"/>
    <w:tmpl w:val="79401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D32AE"/>
    <w:multiLevelType w:val="multilevel"/>
    <w:tmpl w:val="6FF46C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C54865"/>
    <w:multiLevelType w:val="hybridMultilevel"/>
    <w:tmpl w:val="FD207DF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8917AD"/>
    <w:multiLevelType w:val="multilevel"/>
    <w:tmpl w:val="F5764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FC1D76"/>
    <w:multiLevelType w:val="multilevel"/>
    <w:tmpl w:val="CC1C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330032"/>
    <w:multiLevelType w:val="hybridMultilevel"/>
    <w:tmpl w:val="65D29F2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B4675D"/>
    <w:multiLevelType w:val="multilevel"/>
    <w:tmpl w:val="348C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70012E"/>
    <w:multiLevelType w:val="multilevel"/>
    <w:tmpl w:val="FA62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A16334"/>
    <w:multiLevelType w:val="hybridMultilevel"/>
    <w:tmpl w:val="08F88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73B9F"/>
    <w:multiLevelType w:val="multilevel"/>
    <w:tmpl w:val="082E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594D27"/>
    <w:multiLevelType w:val="hybridMultilevel"/>
    <w:tmpl w:val="1B726B1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03D85"/>
    <w:multiLevelType w:val="hybridMultilevel"/>
    <w:tmpl w:val="9AF63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203452">
    <w:abstractNumId w:val="6"/>
  </w:num>
  <w:num w:numId="2" w16cid:durableId="1945065505">
    <w:abstractNumId w:val="10"/>
  </w:num>
  <w:num w:numId="3" w16cid:durableId="1844859270">
    <w:abstractNumId w:val="9"/>
  </w:num>
  <w:num w:numId="4" w16cid:durableId="1551843492">
    <w:abstractNumId w:val="7"/>
  </w:num>
  <w:num w:numId="5" w16cid:durableId="1258095607">
    <w:abstractNumId w:val="12"/>
  </w:num>
  <w:num w:numId="6" w16cid:durableId="612789242">
    <w:abstractNumId w:val="3"/>
  </w:num>
  <w:num w:numId="7" w16cid:durableId="137915005">
    <w:abstractNumId w:val="14"/>
  </w:num>
  <w:num w:numId="8" w16cid:durableId="1126704918">
    <w:abstractNumId w:val="8"/>
  </w:num>
  <w:num w:numId="9" w16cid:durableId="854731437">
    <w:abstractNumId w:val="11"/>
  </w:num>
  <w:num w:numId="10" w16cid:durableId="1375035124">
    <w:abstractNumId w:val="2"/>
  </w:num>
  <w:num w:numId="11" w16cid:durableId="910652857">
    <w:abstractNumId w:val="1"/>
  </w:num>
  <w:num w:numId="12" w16cid:durableId="2049529762">
    <w:abstractNumId w:val="4"/>
  </w:num>
  <w:num w:numId="13" w16cid:durableId="1409036665">
    <w:abstractNumId w:val="5"/>
  </w:num>
  <w:num w:numId="14" w16cid:durableId="1171993700">
    <w:abstractNumId w:val="0"/>
  </w:num>
  <w:num w:numId="15" w16cid:durableId="11581586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AEF"/>
    <w:rsid w:val="000121E4"/>
    <w:rsid w:val="00045386"/>
    <w:rsid w:val="00074407"/>
    <w:rsid w:val="000973B9"/>
    <w:rsid w:val="000E61F6"/>
    <w:rsid w:val="001278A8"/>
    <w:rsid w:val="00140BF7"/>
    <w:rsid w:val="00162D3B"/>
    <w:rsid w:val="001D5479"/>
    <w:rsid w:val="00214CE8"/>
    <w:rsid w:val="0022568C"/>
    <w:rsid w:val="00225F34"/>
    <w:rsid w:val="00240EA3"/>
    <w:rsid w:val="00247BEF"/>
    <w:rsid w:val="00320B27"/>
    <w:rsid w:val="003B007C"/>
    <w:rsid w:val="005F0FDA"/>
    <w:rsid w:val="006826D9"/>
    <w:rsid w:val="00685A45"/>
    <w:rsid w:val="006861F9"/>
    <w:rsid w:val="00732CC8"/>
    <w:rsid w:val="00745A4E"/>
    <w:rsid w:val="00774798"/>
    <w:rsid w:val="007A4435"/>
    <w:rsid w:val="00855A2C"/>
    <w:rsid w:val="008C1DE0"/>
    <w:rsid w:val="00927861"/>
    <w:rsid w:val="009400B2"/>
    <w:rsid w:val="009D4677"/>
    <w:rsid w:val="009E0977"/>
    <w:rsid w:val="00A0145A"/>
    <w:rsid w:val="00A15AE0"/>
    <w:rsid w:val="00A4310E"/>
    <w:rsid w:val="00AA40F2"/>
    <w:rsid w:val="00AB0E69"/>
    <w:rsid w:val="00B532F4"/>
    <w:rsid w:val="00BA0751"/>
    <w:rsid w:val="00BB6C8A"/>
    <w:rsid w:val="00BD4C61"/>
    <w:rsid w:val="00C30DE0"/>
    <w:rsid w:val="00C602F1"/>
    <w:rsid w:val="00C618DC"/>
    <w:rsid w:val="00C96DD7"/>
    <w:rsid w:val="00D00502"/>
    <w:rsid w:val="00D1598C"/>
    <w:rsid w:val="00D22904"/>
    <w:rsid w:val="00D45259"/>
    <w:rsid w:val="00D45AEF"/>
    <w:rsid w:val="00DB4AE9"/>
    <w:rsid w:val="00E0482C"/>
    <w:rsid w:val="00E51524"/>
    <w:rsid w:val="00EF138C"/>
    <w:rsid w:val="00EF6D42"/>
    <w:rsid w:val="00F03E42"/>
    <w:rsid w:val="00F6610A"/>
    <w:rsid w:val="00FA62AB"/>
    <w:rsid w:val="00FD4625"/>
    <w:rsid w:val="00FF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A1615"/>
  <w15:chartTrackingRefBased/>
  <w15:docId w15:val="{73DB6733-CE26-44EE-BFE8-4A6A2C96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A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A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A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A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A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A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A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A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A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A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A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5A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9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9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7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6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1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6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0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2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9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1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5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1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2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5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7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6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9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4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8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7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91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7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30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6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library.wiley.com/doi/10.1111/cea.14217?msockid=0b802b76c2946119173e3d5dc36f600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8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uture.nhs.uk/A_M_R/view?objectId=25369082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thelancet.com/journals/lanprc/article/PIIS3050-5143(25)00006-8/fulltex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.nhs.uk/A_M_R/view?objectID=43635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FLEMING, Natalie (NHS ENGLAND)</dc:creator>
  <cp:keywords/>
  <dc:description/>
  <cp:lastModifiedBy>FLEMING, Natalie (NHS ENGLAND)</cp:lastModifiedBy>
  <cp:revision>52</cp:revision>
  <dcterms:created xsi:type="dcterms:W3CDTF">2025-07-28T10:39:00Z</dcterms:created>
  <dcterms:modified xsi:type="dcterms:W3CDTF">2025-07-28T13:46:00Z</dcterms:modified>
</cp:coreProperties>
</file>