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7623" w14:textId="77777777" w:rsidR="00664976" w:rsidRDefault="00101456">
      <w:pPr>
        <w:spacing w:line="320" w:lineRule="exact"/>
        <w:rPr>
          <w:shd w:val="clear" w:color="auto" w:fill="FFFF00"/>
        </w:rPr>
      </w:pPr>
      <w:bookmarkStart w:id="0" w:name="Factsheet"/>
      <w:r>
        <w:rPr>
          <w:shd w:val="clear" w:color="auto" w:fill="FFFF00"/>
        </w:rPr>
        <w:t xml:space="preserve">[Mandarin translation of the </w:t>
      </w:r>
      <w:hyperlink r:id="rId10" w:history="1">
        <w:r w:rsidR="00664976"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="00664976"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="00664976"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 w:rsidR="00664976">
        <w:rPr>
          <w:rFonts w:cs="Arial"/>
          <w:shd w:val="clear" w:color="auto" w:fill="FFFF00"/>
        </w:rPr>
        <w:t xml:space="preserve"> – edit highlighted text and remove highlighting before use</w:t>
      </w:r>
      <w:r w:rsidR="00664976">
        <w:rPr>
          <w:shd w:val="clear" w:color="auto" w:fill="FFFF00"/>
        </w:rPr>
        <w:t>]</w:t>
      </w:r>
    </w:p>
    <w:p w14:paraId="60D1E483" w14:textId="48F95DAC" w:rsidR="006B2BB0" w:rsidRDefault="00350FE5">
      <w:pPr>
        <w:spacing w:line="320" w:lineRule="exact"/>
      </w:pPr>
      <w:proofErr w:type="gramStart"/>
      <w:r>
        <w:rPr>
          <w:rFonts w:hint="eastAsia"/>
          <w:shd w:val="clear" w:color="auto" w:fill="FFFF00"/>
        </w:rPr>
        <w:t>00 month</w:t>
      </w:r>
      <w:proofErr w:type="gramEnd"/>
      <w:r>
        <w:rPr>
          <w:rFonts w:hint="eastAsia"/>
          <w:shd w:val="clear" w:color="auto" w:fill="FFFF00"/>
        </w:rPr>
        <w:t xml:space="preserve"> 20XX</w:t>
      </w:r>
    </w:p>
    <w:p w14:paraId="60D1E484" w14:textId="77777777" w:rsidR="006B2BB0" w:rsidRDefault="006B2BB0">
      <w:pPr>
        <w:spacing w:line="320" w:lineRule="exact"/>
        <w:outlineLvl w:val="0"/>
        <w:rPr>
          <w:rFonts w:cs="Arial"/>
          <w:b/>
        </w:rPr>
      </w:pPr>
    </w:p>
    <w:p w14:paraId="60D1E485" w14:textId="313B7021" w:rsidR="006B2BB0" w:rsidRDefault="00350FE5">
      <w:pPr>
        <w:spacing w:line="320" w:lineRule="exact"/>
      </w:pPr>
      <w:r>
        <w:rPr>
          <w:rFonts w:hint="eastAsia"/>
        </w:rPr>
        <w:t>尊敬的</w:t>
      </w:r>
      <w:r>
        <w:rPr>
          <w:rFonts w:hint="eastAsia"/>
        </w:rPr>
        <w:t xml:space="preserve"> </w:t>
      </w:r>
      <w:r w:rsidR="009123D5">
        <w:rPr>
          <w:shd w:val="clear" w:color="auto" w:fill="FFFF00"/>
        </w:rPr>
        <w:t>[Name of recipient]</w:t>
      </w:r>
      <w:r>
        <w:rPr>
          <w:rFonts w:hint="eastAsia"/>
        </w:rPr>
        <w:t>,</w:t>
      </w:r>
    </w:p>
    <w:p w14:paraId="60D1E486" w14:textId="77777777" w:rsidR="006B2BB0" w:rsidRDefault="006B2BB0">
      <w:pPr>
        <w:spacing w:line="320" w:lineRule="exact"/>
        <w:rPr>
          <w:rFonts w:cs="Arial"/>
        </w:rPr>
      </w:pPr>
    </w:p>
    <w:p w14:paraId="60D1E487" w14:textId="77777777" w:rsidR="006B2BB0" w:rsidRDefault="00350FE5">
      <w:pPr>
        <w:spacing w:line="320" w:lineRule="exact"/>
        <w:outlineLvl w:val="0"/>
        <w:rPr>
          <w:rFonts w:cs="Arial"/>
          <w:b/>
        </w:rPr>
      </w:pPr>
      <w:r>
        <w:rPr>
          <w:rFonts w:hint="eastAsia"/>
          <w:b/>
        </w:rPr>
        <w:t>关于：麻疹相关信息</w:t>
      </w:r>
    </w:p>
    <w:p w14:paraId="60D1E488" w14:textId="77777777" w:rsidR="006B2BB0" w:rsidRDefault="006B2BB0">
      <w:pPr>
        <w:spacing w:line="320" w:lineRule="atLeast"/>
        <w:jc w:val="both"/>
        <w:rPr>
          <w:rFonts w:cs="Arial"/>
          <w:lang w:bidi="en-GB"/>
        </w:rPr>
      </w:pPr>
    </w:p>
    <w:p w14:paraId="60D1E489" w14:textId="63A97E38" w:rsidR="006B2BB0" w:rsidRDefault="00350FE5">
      <w:pPr>
        <w:spacing w:line="320" w:lineRule="atLeast"/>
      </w:pPr>
      <w:r>
        <w:rPr>
          <w:rFonts w:hint="eastAsia"/>
        </w:rPr>
        <w:t>您或您的孩子可能在</w:t>
      </w:r>
      <w:r>
        <w:rPr>
          <w:rFonts w:hint="eastAsia"/>
        </w:rPr>
        <w:t xml:space="preserve"> (</w:t>
      </w:r>
      <w:r>
        <w:rPr>
          <w:rFonts w:hint="eastAsia"/>
          <w:shd w:val="clear" w:color="auto" w:fill="FFFF00"/>
        </w:rPr>
        <w:t>NAME OF PLACE</w:t>
      </w:r>
      <w:r>
        <w:rPr>
          <w:rFonts w:hint="eastAsia"/>
        </w:rPr>
        <w:t xml:space="preserve">) </w:t>
      </w:r>
      <w:r>
        <w:rPr>
          <w:rFonts w:hint="eastAsia"/>
        </w:rPr>
        <w:t>接触过麻疹患者。这意味着，如果您或您的孩子没有接种两剂麻疹、腮腺炎和风疹</w:t>
      </w:r>
      <w:r>
        <w:rPr>
          <w:rFonts w:hint="eastAsia"/>
        </w:rPr>
        <w:t xml:space="preserve"> (MMR) </w:t>
      </w:r>
      <w:r>
        <w:rPr>
          <w:rFonts w:hint="eastAsia"/>
        </w:rPr>
        <w:t>联合疫苗，您或您的孩子就有可能得麻疹。本函将向您介绍应该如何保护自己和身边家人的健康。</w:t>
      </w:r>
    </w:p>
    <w:p w14:paraId="60D1E48A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0D1E48B" w14:textId="37ED9375" w:rsidR="006B2BB0" w:rsidRDefault="00350FE5">
      <w:pPr>
        <w:spacing w:line="320" w:lineRule="atLeast"/>
      </w:pPr>
      <w:r>
        <w:rPr>
          <w:rFonts w:hint="eastAsia"/>
        </w:rPr>
        <w:t>麻疹是一种极易传播的传染病。麻疹可能会突然起病，人们很快就会感到不适。本函结尾处有更多关于麻疹的信息——请阅读这些信息，了解更多关于麻疹的症状、传播方式和麻疹疫苗接种的信息。有关麻疹的更多信息，请访问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hint="eastAsia"/>
          </w:rPr>
          <w:t>www.nhs.uk/conditions/measles</w:t>
        </w:r>
      </w:hyperlink>
    </w:p>
    <w:p w14:paraId="60D1E48C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0D1E48D" w14:textId="77777777" w:rsidR="006B2BB0" w:rsidRDefault="00350FE5">
      <w:pPr>
        <w:spacing w:after="60" w:line="320" w:lineRule="atLeast"/>
        <w:rPr>
          <w:b/>
          <w:bCs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>
        <w:rPr>
          <w:rFonts w:hint="eastAsia"/>
          <w:b/>
        </w:rPr>
        <w:t>何时应咨询您的全科医生</w:t>
      </w:r>
      <w:r>
        <w:rPr>
          <w:rFonts w:hint="eastAsia"/>
          <w:b/>
        </w:rPr>
        <w:t xml:space="preserve"> (GP)</w:t>
      </w:r>
    </w:p>
    <w:p w14:paraId="60D1E48E" w14:textId="77777777" w:rsidR="006B2BB0" w:rsidRDefault="00350FE5">
      <w:pPr>
        <w:spacing w:after="60" w:line="320" w:lineRule="atLeast"/>
      </w:pPr>
      <w:r>
        <w:rPr>
          <w:rFonts w:hint="eastAsia"/>
        </w:rPr>
        <w:t>以下人群需要尽快咨询医生：</w:t>
      </w:r>
    </w:p>
    <w:p w14:paraId="60D1E48F" w14:textId="77777777" w:rsidR="006B2BB0" w:rsidRDefault="006B2BB0">
      <w:pPr>
        <w:spacing w:line="320" w:lineRule="atLeast"/>
        <w:rPr>
          <w:rFonts w:cs="Arial"/>
          <w:b/>
          <w:bCs/>
          <w:lang w:bidi="en-GB"/>
        </w:rPr>
      </w:pPr>
    </w:p>
    <w:p w14:paraId="60D1E490" w14:textId="77777777" w:rsidR="006B2BB0" w:rsidRDefault="00350FE5">
      <w:pPr>
        <w:spacing w:line="320" w:lineRule="atLeast"/>
        <w:ind w:left="272"/>
        <w:rPr>
          <w:rFonts w:cs="Arial"/>
          <w:b/>
          <w:bCs/>
        </w:rPr>
      </w:pPr>
      <w:r>
        <w:rPr>
          <w:rFonts w:hint="eastAsia"/>
          <w:b/>
        </w:rPr>
        <w:t>免疫系统功能低下者</w:t>
      </w:r>
    </w:p>
    <w:p w14:paraId="60D1E491" w14:textId="77777777" w:rsidR="006B2BB0" w:rsidRDefault="00350FE5">
      <w:pPr>
        <w:spacing w:line="320" w:lineRule="atLeast"/>
        <w:ind w:left="272"/>
        <w:rPr>
          <w:rFonts w:cs="Arial"/>
        </w:rPr>
      </w:pPr>
      <w:r>
        <w:rPr>
          <w:rFonts w:hint="eastAsia"/>
        </w:rPr>
        <w:t>如果您患有免疫系统功能低下，请联系您的全科医生，告知您可能接触过麻疹患者。医生可能会给您做一个检测，以确定您是否对麻疹有免疫力，或为您提供治疗以减少感染的风险。</w:t>
      </w:r>
    </w:p>
    <w:p w14:paraId="60D1E492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0D1E493" w14:textId="77777777" w:rsidR="006B2BB0" w:rsidRDefault="00350FE5">
      <w:pPr>
        <w:spacing w:line="320" w:lineRule="atLeast"/>
        <w:ind w:left="272"/>
        <w:rPr>
          <w:rFonts w:cs="Arial"/>
          <w:b/>
          <w:bCs/>
        </w:rPr>
      </w:pPr>
      <w:r>
        <w:rPr>
          <w:rFonts w:hint="eastAsia"/>
          <w:b/>
        </w:rPr>
        <w:t>孕妇</w:t>
      </w:r>
    </w:p>
    <w:p w14:paraId="60D1E494" w14:textId="77777777" w:rsidR="006B2BB0" w:rsidRDefault="00350FE5">
      <w:pPr>
        <w:spacing w:line="320" w:lineRule="atLeast"/>
        <w:ind w:left="272"/>
        <w:rPr>
          <w:rFonts w:cs="Arial"/>
        </w:rPr>
      </w:pPr>
      <w:r>
        <w:rPr>
          <w:rFonts w:hint="eastAsia"/>
        </w:rPr>
        <w:t>如果您已有身孕，并认为自己可能错过了一剂</w:t>
      </w:r>
      <w:r>
        <w:rPr>
          <w:rFonts w:hint="eastAsia"/>
        </w:rPr>
        <w:t xml:space="preserve"> MMR </w:t>
      </w:r>
      <w:r>
        <w:rPr>
          <w:rFonts w:hint="eastAsia"/>
        </w:rPr>
        <w:t>联合疫苗接种，或不确定自己是否接种过该疫苗，请联系您的医生或助产士，告知您可能接触过麻疹患者。</w:t>
      </w:r>
    </w:p>
    <w:p w14:paraId="60D1E495" w14:textId="77777777" w:rsidR="006B2BB0" w:rsidRDefault="006B2BB0">
      <w:pPr>
        <w:spacing w:line="320" w:lineRule="atLeast"/>
        <w:ind w:left="272"/>
        <w:rPr>
          <w:rFonts w:cs="Arial"/>
        </w:rPr>
      </w:pPr>
    </w:p>
    <w:p w14:paraId="60D1E496" w14:textId="77777777" w:rsidR="006B2BB0" w:rsidRDefault="00350FE5">
      <w:pPr>
        <w:spacing w:line="320" w:lineRule="atLeast"/>
        <w:ind w:left="272"/>
        <w:rPr>
          <w:rFonts w:cs="Arial"/>
          <w:b/>
          <w:bCs/>
        </w:rPr>
      </w:pPr>
      <w:r>
        <w:rPr>
          <w:rFonts w:hint="eastAsia"/>
          <w:b/>
        </w:rPr>
        <w:t xml:space="preserve">12 </w:t>
      </w:r>
      <w:r>
        <w:rPr>
          <w:rFonts w:hint="eastAsia"/>
          <w:b/>
        </w:rPr>
        <w:t>个月以下的儿童</w:t>
      </w:r>
    </w:p>
    <w:p w14:paraId="60D1E497" w14:textId="207325DC" w:rsidR="006B2BB0" w:rsidRDefault="00350FE5">
      <w:pPr>
        <w:spacing w:line="320" w:lineRule="atLeast"/>
        <w:ind w:left="272"/>
        <w:rPr>
          <w:rFonts w:cs="Arial"/>
        </w:rPr>
      </w:pPr>
      <w:r>
        <w:rPr>
          <w:rFonts w:hint="eastAsia"/>
        </w:rPr>
        <w:t>如果您带着</w:t>
      </w:r>
      <w:r>
        <w:rPr>
          <w:rFonts w:hint="eastAsia"/>
        </w:rPr>
        <w:t xml:space="preserve"> 12 </w:t>
      </w:r>
      <w:r>
        <w:rPr>
          <w:rFonts w:hint="eastAsia"/>
        </w:rPr>
        <w:t>个月以下的婴儿与麻疹患者同时段于</w:t>
      </w:r>
      <w:r>
        <w:rPr>
          <w:rFonts w:hint="eastAsia"/>
        </w:rPr>
        <w:t xml:space="preserve"> (</w:t>
      </w:r>
      <w:r w:rsidR="00B17708">
        <w:rPr>
          <w:rFonts w:hint="eastAsia"/>
          <w:shd w:val="clear" w:color="auto" w:fill="FFFF00"/>
        </w:rPr>
        <w:t>NAME OF PLACE</w:t>
      </w:r>
      <w:r>
        <w:rPr>
          <w:rFonts w:hint="eastAsia"/>
        </w:rPr>
        <w:t xml:space="preserve">) </w:t>
      </w:r>
      <w:r>
        <w:rPr>
          <w:rFonts w:hint="eastAsia"/>
        </w:rPr>
        <w:t>进行活动，请联系您的医生寻求建议。</w:t>
      </w:r>
      <w:r>
        <w:rPr>
          <w:rFonts w:hint="eastAsia"/>
        </w:rPr>
        <w:t xml:space="preserve">  </w:t>
      </w:r>
    </w:p>
    <w:p w14:paraId="60D1E498" w14:textId="77777777" w:rsidR="006B2BB0" w:rsidRDefault="006B2BB0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60D1E499" w14:textId="77777777" w:rsidR="006B2BB0" w:rsidRDefault="00350FE5">
      <w:pPr>
        <w:spacing w:line="320" w:lineRule="atLeast"/>
        <w:ind w:left="272"/>
        <w:rPr>
          <w:rFonts w:cs="Arial"/>
          <w:b/>
          <w:bCs/>
        </w:rPr>
      </w:pPr>
      <w:r>
        <w:rPr>
          <w:rFonts w:hint="eastAsia"/>
          <w:b/>
        </w:rPr>
        <w:t>身体不适者</w:t>
      </w:r>
      <w:r>
        <w:rPr>
          <w:rFonts w:hint="eastAsia"/>
          <w:b/>
        </w:rPr>
        <w:t xml:space="preserve"> </w:t>
      </w:r>
    </w:p>
    <w:p w14:paraId="60D1E49A" w14:textId="108684E0" w:rsidR="006B2BB0" w:rsidRDefault="00350FE5">
      <w:pPr>
        <w:spacing w:line="320" w:lineRule="atLeast"/>
        <w:ind w:left="272"/>
        <w:rPr>
          <w:rFonts w:cs="Arial"/>
        </w:rPr>
      </w:pPr>
      <w:r>
        <w:rPr>
          <w:rFonts w:hint="eastAsia"/>
        </w:rPr>
        <w:t>如果您或您的孩子在与麻疹患者同时段于</w:t>
      </w:r>
      <w:r>
        <w:rPr>
          <w:rFonts w:hint="eastAsia"/>
        </w:rPr>
        <w:t xml:space="preserve"> (</w:t>
      </w:r>
      <w:r w:rsidR="00B17708">
        <w:rPr>
          <w:rFonts w:hint="eastAsia"/>
          <w:shd w:val="clear" w:color="auto" w:fill="FFFF00"/>
        </w:rPr>
        <w:t>NAME OF PLACE</w:t>
      </w:r>
      <w:r>
        <w:rPr>
          <w:rFonts w:hint="eastAsia"/>
        </w:rPr>
        <w:t xml:space="preserve">) </w:t>
      </w:r>
      <w:r>
        <w:rPr>
          <w:rFonts w:hint="eastAsia"/>
        </w:rPr>
        <w:t>进行活动后的三周内出现高烧、咳嗽、流鼻涕、眼睛红肿或皮疹，请联系全科医生或咨询</w:t>
      </w:r>
      <w:r>
        <w:rPr>
          <w:rFonts w:hint="eastAsia"/>
        </w:rPr>
        <w:t xml:space="preserve"> NHS 111</w:t>
      </w:r>
      <w:r>
        <w:rPr>
          <w:rFonts w:hint="eastAsia"/>
        </w:rPr>
        <w:t>。在前往其场所之前，应尽量先电话联系全科医生或</w:t>
      </w:r>
      <w:r>
        <w:rPr>
          <w:rFonts w:hint="eastAsia"/>
        </w:rPr>
        <w:t xml:space="preserve"> NHS 111</w:t>
      </w:r>
      <w:r>
        <w:rPr>
          <w:rFonts w:hint="eastAsia"/>
        </w:rPr>
        <w:t>。此举是为了避免将麻疹传染给他人。</w:t>
      </w:r>
      <w:r>
        <w:rPr>
          <w:rFonts w:hint="eastAsia"/>
        </w:rPr>
        <w:t xml:space="preserve">  </w:t>
      </w:r>
    </w:p>
    <w:p w14:paraId="60D1E49B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0D1E49D" w14:textId="504FECD4" w:rsidR="006B2BB0" w:rsidRPr="009417A9" w:rsidRDefault="00350FE5" w:rsidP="009417A9">
      <w:pPr>
        <w:spacing w:line="320" w:lineRule="atLeast"/>
        <w:ind w:left="272"/>
      </w:pPr>
      <w:r>
        <w:rPr>
          <w:rFonts w:hint="eastAsia"/>
        </w:rPr>
        <w:t>请告诉医生您或您的孩子收到了本函，并且有可能接触过麻疹患者。如果您发现孩子身体不适，何时寻求帮助确实是个难题。如果您担心自己的孩子，尤其是两岁以下的，请寻求医疗帮助。</w:t>
      </w:r>
    </w:p>
    <w:p w14:paraId="60D1E49E" w14:textId="77777777" w:rsidR="006B2BB0" w:rsidRDefault="006B2BB0">
      <w:pPr>
        <w:spacing w:line="320" w:lineRule="atLeast"/>
        <w:ind w:left="272"/>
        <w:rPr>
          <w:rFonts w:cs="Arial"/>
          <w:lang w:bidi="en-GB"/>
        </w:rPr>
      </w:pPr>
    </w:p>
    <w:p w14:paraId="60D1E49F" w14:textId="77777777" w:rsidR="006B2BB0" w:rsidRDefault="00350FE5">
      <w:pPr>
        <w:spacing w:line="320" w:lineRule="atLeast"/>
        <w:ind w:left="272"/>
        <w:rPr>
          <w:rFonts w:cs="Arial"/>
          <w:b/>
          <w:bCs/>
        </w:rPr>
      </w:pPr>
      <w:r>
        <w:rPr>
          <w:rFonts w:hint="eastAsia"/>
          <w:b/>
        </w:rPr>
        <w:t>尚未接种过两剂</w:t>
      </w:r>
      <w:r>
        <w:rPr>
          <w:rFonts w:hint="eastAsia"/>
          <w:b/>
        </w:rPr>
        <w:t xml:space="preserve"> MMR </w:t>
      </w:r>
      <w:r>
        <w:rPr>
          <w:rFonts w:hint="eastAsia"/>
          <w:b/>
        </w:rPr>
        <w:t>联合疫苗者</w:t>
      </w:r>
    </w:p>
    <w:p w14:paraId="60D1E4A0" w14:textId="77777777" w:rsidR="006B2BB0" w:rsidRDefault="00350FE5">
      <w:pPr>
        <w:spacing w:line="320" w:lineRule="atLeast"/>
        <w:ind w:left="272"/>
        <w:rPr>
          <w:rFonts w:cs="Arial"/>
        </w:rPr>
      </w:pPr>
      <w:r>
        <w:rPr>
          <w:rFonts w:hint="eastAsia"/>
        </w:rPr>
        <w:t>如果您不确定您或您的孩子是否接种过两剂</w:t>
      </w:r>
      <w:r>
        <w:rPr>
          <w:rFonts w:hint="eastAsia"/>
        </w:rPr>
        <w:t xml:space="preserve"> MMR </w:t>
      </w:r>
      <w:r>
        <w:rPr>
          <w:rFonts w:hint="eastAsia"/>
        </w:rPr>
        <w:t>联合疫苗，请联系您的全科医生安排接种。如果您错过了一次接种，您仍然可以在任何年龄接种该疫苗。请参阅《麻疹科普》中有关</w:t>
      </w:r>
      <w:r>
        <w:rPr>
          <w:rFonts w:hint="eastAsia"/>
        </w:rPr>
        <w:t xml:space="preserve"> MMR </w:t>
      </w:r>
      <w:r>
        <w:rPr>
          <w:rFonts w:hint="eastAsia"/>
        </w:rPr>
        <w:t>联合疫苗的更多信息。</w:t>
      </w:r>
    </w:p>
    <w:p w14:paraId="60D1E4A1" w14:textId="77777777" w:rsidR="006B2BB0" w:rsidRDefault="006B2BB0">
      <w:pPr>
        <w:tabs>
          <w:tab w:val="left" w:pos="2340"/>
        </w:tabs>
        <w:spacing w:line="320" w:lineRule="atLeast"/>
        <w:rPr>
          <w:rFonts w:cs="Arial"/>
        </w:rPr>
      </w:pPr>
      <w:bookmarkStart w:id="4" w:name="_bookmark71"/>
      <w:bookmarkStart w:id="5" w:name="_bookmark72"/>
      <w:bookmarkEnd w:id="4"/>
      <w:bookmarkEnd w:id="5"/>
    </w:p>
    <w:p w14:paraId="60D1E4A2" w14:textId="77777777" w:rsidR="006B2BB0" w:rsidRDefault="00350FE5">
      <w:pPr>
        <w:spacing w:after="160"/>
        <w:rPr>
          <w:rFonts w:cs="Arial"/>
          <w:b/>
          <w:bCs/>
        </w:rPr>
      </w:pPr>
      <w:r>
        <w:rPr>
          <w:rFonts w:hint="eastAsia"/>
          <w:b/>
        </w:rPr>
        <w:t>患麻疹后，何时才能恢复正常活动</w:t>
      </w:r>
    </w:p>
    <w:p w14:paraId="60D1E4A3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麻疹患者可在出现皮疹前的</w:t>
      </w:r>
      <w:r>
        <w:rPr>
          <w:rFonts w:hint="eastAsia"/>
        </w:rPr>
        <w:t xml:space="preserve"> 4 </w:t>
      </w:r>
      <w:r>
        <w:rPr>
          <w:rFonts w:hint="eastAsia"/>
        </w:rPr>
        <w:t>天内将病毒传染给他人。出现皮疹后的</w:t>
      </w:r>
      <w:r>
        <w:rPr>
          <w:rFonts w:hint="eastAsia"/>
        </w:rPr>
        <w:t xml:space="preserve"> 4 </w:t>
      </w:r>
      <w:r>
        <w:rPr>
          <w:rFonts w:hint="eastAsia"/>
        </w:rPr>
        <w:t>天内，麻疹患者仍可传染病毒。</w:t>
      </w:r>
      <w:r>
        <w:rPr>
          <w:rFonts w:hint="eastAsia"/>
        </w:rPr>
        <w:t xml:space="preserve"> </w:t>
      </w:r>
    </w:p>
    <w:p w14:paraId="60D1E4A4" w14:textId="77777777" w:rsidR="006B2BB0" w:rsidRDefault="00350FE5">
      <w:pPr>
        <w:tabs>
          <w:tab w:val="left" w:pos="2340"/>
        </w:tabs>
        <w:spacing w:line="320" w:lineRule="atLeast"/>
      </w:pPr>
      <w:r>
        <w:rPr>
          <w:rFonts w:hint="eastAsia"/>
        </w:rPr>
        <w:t>如果认为儿童或成人患有麻疹，应在出现皮疹后至少</w:t>
      </w:r>
      <w:r>
        <w:rPr>
          <w:rFonts w:hint="eastAsia"/>
        </w:rPr>
        <w:t xml:space="preserve"> 4 </w:t>
      </w:r>
      <w:r>
        <w:rPr>
          <w:rFonts w:hint="eastAsia"/>
        </w:rPr>
        <w:t>天内远离学校、托儿所或工作场所。还应避免与未满</w:t>
      </w:r>
      <w:r>
        <w:rPr>
          <w:rFonts w:hint="eastAsia"/>
        </w:rPr>
        <w:t xml:space="preserve"> 12 </w:t>
      </w:r>
      <w:r>
        <w:rPr>
          <w:rFonts w:hint="eastAsia"/>
        </w:rPr>
        <w:t>个月的婴儿、孕妇和免疫系统功能低下人群密切接触。</w:t>
      </w:r>
    </w:p>
    <w:p w14:paraId="60D1E4A5" w14:textId="77777777" w:rsidR="006B2BB0" w:rsidRDefault="006B2BB0">
      <w:pPr>
        <w:tabs>
          <w:tab w:val="left" w:pos="2340"/>
        </w:tabs>
        <w:spacing w:line="320" w:lineRule="atLeast"/>
        <w:rPr>
          <w:rFonts w:cs="Arial"/>
        </w:rPr>
      </w:pPr>
    </w:p>
    <w:p w14:paraId="60D1E4A6" w14:textId="77777777" w:rsidR="006B2BB0" w:rsidRDefault="006B2BB0">
      <w:pPr>
        <w:spacing w:line="320" w:lineRule="atLeast"/>
        <w:rPr>
          <w:rFonts w:cs="Arial"/>
        </w:rPr>
      </w:pPr>
    </w:p>
    <w:p w14:paraId="60D1E4A7" w14:textId="77777777" w:rsidR="006B2BB0" w:rsidRDefault="006B2BB0">
      <w:pPr>
        <w:spacing w:line="320" w:lineRule="atLeast"/>
        <w:rPr>
          <w:rFonts w:cs="Arial"/>
        </w:rPr>
      </w:pPr>
    </w:p>
    <w:p w14:paraId="60D1E4A8" w14:textId="77777777" w:rsidR="006B2BB0" w:rsidRDefault="006B2BB0">
      <w:pPr>
        <w:spacing w:line="320" w:lineRule="atLeast"/>
        <w:rPr>
          <w:rFonts w:cs="Arial"/>
        </w:rPr>
      </w:pPr>
    </w:p>
    <w:p w14:paraId="60D1E4A9" w14:textId="77777777" w:rsidR="006B2BB0" w:rsidRDefault="00350FE5">
      <w:pPr>
        <w:spacing w:line="320" w:lineRule="atLeast"/>
        <w:rPr>
          <w:rFonts w:cs="Arial"/>
        </w:rPr>
      </w:pPr>
      <w:r>
        <w:rPr>
          <w:rFonts w:hint="eastAsia"/>
        </w:rPr>
        <w:t>祝好，</w:t>
      </w:r>
    </w:p>
    <w:p w14:paraId="60D1E4AA" w14:textId="77777777" w:rsidR="006B2BB0" w:rsidRDefault="006B2BB0">
      <w:pPr>
        <w:spacing w:line="320" w:lineRule="exact"/>
        <w:rPr>
          <w:rFonts w:cs="Arial"/>
        </w:rPr>
      </w:pPr>
    </w:p>
    <w:p w14:paraId="60D1E4AB" w14:textId="77777777" w:rsidR="006B2BB0" w:rsidRDefault="006B2BB0">
      <w:pPr>
        <w:spacing w:line="320" w:lineRule="exact"/>
        <w:rPr>
          <w:rFonts w:cs="Arial"/>
        </w:rPr>
      </w:pPr>
    </w:p>
    <w:p w14:paraId="60D1E4AC" w14:textId="77777777" w:rsidR="006B2BB0" w:rsidRDefault="00350FE5">
      <w:pPr>
        <w:spacing w:line="320" w:lineRule="exact"/>
        <w:rPr>
          <w:rFonts w:cs="Arial"/>
          <w:shd w:val="clear" w:color="auto" w:fill="FFFF00"/>
        </w:rPr>
      </w:pPr>
      <w:r>
        <w:rPr>
          <w:rFonts w:hint="eastAsia"/>
          <w:shd w:val="clear" w:color="auto" w:fill="FFFF00"/>
        </w:rPr>
        <w:t>Author</w:t>
      </w:r>
      <w:r>
        <w:rPr>
          <w:rFonts w:hint="eastAsia"/>
          <w:shd w:val="clear" w:color="auto" w:fill="FFFF00"/>
        </w:rPr>
        <w:t>’</w:t>
      </w:r>
      <w:r>
        <w:rPr>
          <w:rFonts w:hint="eastAsia"/>
          <w:shd w:val="clear" w:color="auto" w:fill="FFFF00"/>
        </w:rPr>
        <w:t>s name</w:t>
      </w:r>
    </w:p>
    <w:p w14:paraId="60D1E4AD" w14:textId="77777777" w:rsidR="006B2BB0" w:rsidRDefault="006B2BB0">
      <w:pPr>
        <w:spacing w:line="320" w:lineRule="exact"/>
        <w:rPr>
          <w:rFonts w:cs="Arial"/>
          <w:shd w:val="clear" w:color="auto" w:fill="FFFF00"/>
        </w:rPr>
      </w:pPr>
    </w:p>
    <w:p w14:paraId="60D1E4AE" w14:textId="77777777" w:rsidR="006B2BB0" w:rsidRDefault="00350FE5">
      <w:pPr>
        <w:spacing w:line="320" w:lineRule="exact"/>
      </w:pPr>
      <w:r>
        <w:rPr>
          <w:rFonts w:hint="eastAsia"/>
          <w:shd w:val="clear" w:color="auto" w:fill="FFFF00"/>
        </w:rPr>
        <w:t>Position or title</w:t>
      </w:r>
    </w:p>
    <w:p w14:paraId="60D1E4AF" w14:textId="77777777" w:rsidR="006B2BB0" w:rsidRDefault="006B2BB0">
      <w:pPr>
        <w:tabs>
          <w:tab w:val="left" w:pos="2340"/>
        </w:tabs>
        <w:spacing w:line="320" w:lineRule="exact"/>
        <w:rPr>
          <w:rFonts w:cs="Arial"/>
        </w:rPr>
      </w:pPr>
    </w:p>
    <w:bookmarkEnd w:id="0"/>
    <w:p w14:paraId="60D1E4B0" w14:textId="77777777" w:rsidR="006B2BB0" w:rsidRDefault="006B2BB0">
      <w:pPr>
        <w:rPr>
          <w:rFonts w:ascii="Calibri" w:hAnsi="Calibri" w:cs="Calibri"/>
          <w:b/>
          <w:color w:val="009999"/>
          <w:sz w:val="22"/>
          <w:szCs w:val="22"/>
        </w:rPr>
      </w:pPr>
    </w:p>
    <w:p w14:paraId="60D1E4B1" w14:textId="77777777" w:rsidR="006B2BB0" w:rsidRDefault="00350FE5">
      <w:pPr>
        <w:pageBreakBefore/>
        <w:spacing w:after="160"/>
        <w:rPr>
          <w:rFonts w:cs="Arial"/>
          <w:b/>
          <w:color w:val="007C91"/>
          <w:sz w:val="36"/>
          <w:szCs w:val="36"/>
        </w:rPr>
      </w:pPr>
      <w:r>
        <w:rPr>
          <w:rFonts w:hint="eastAsia"/>
          <w:b/>
          <w:color w:val="007C91"/>
          <w:sz w:val="36"/>
        </w:rPr>
        <w:lastRenderedPageBreak/>
        <w:t>麻疹科普</w:t>
      </w:r>
    </w:p>
    <w:p w14:paraId="60D1E4B2" w14:textId="77777777" w:rsidR="006B2BB0" w:rsidRDefault="00350FE5">
      <w:pPr>
        <w:spacing w:after="160"/>
        <w:ind w:right="1104"/>
        <w:rPr>
          <w:rFonts w:cs="Arial"/>
          <w:b/>
          <w:color w:val="007C91"/>
        </w:rPr>
      </w:pPr>
      <w:r>
        <w:rPr>
          <w:rFonts w:hint="eastAsia"/>
          <w:b/>
          <w:color w:val="007C91"/>
        </w:rPr>
        <w:t>什么是麻疹？</w:t>
      </w:r>
    </w:p>
    <w:p w14:paraId="60D1E4B3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麻疹感染由病毒引起，极易在人群中传播。开始出现症状后，人们很快就会感到不适。任何年龄的人都有可能感染麻疹，但最常见于幼儿。</w:t>
      </w:r>
    </w:p>
    <w:p w14:paraId="60D1E4B4" w14:textId="77777777" w:rsidR="006B2BB0" w:rsidRDefault="00350FE5">
      <w:pPr>
        <w:spacing w:after="160"/>
        <w:rPr>
          <w:rFonts w:cs="Arial"/>
          <w:b/>
          <w:color w:val="007C91"/>
        </w:rPr>
      </w:pPr>
      <w:r>
        <w:rPr>
          <w:rFonts w:hint="eastAsia"/>
          <w:b/>
          <w:color w:val="007C91"/>
        </w:rPr>
        <w:t>麻疹的传播途径？</w:t>
      </w:r>
    </w:p>
    <w:p w14:paraId="60D1E4B5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与麻疹感染者密切接触可能会感染麻疹。接触方式可能是吸入了麻疹感染者咳嗽或打喷嚏时喷出的飞沫，也可能是触摸了感染者咳嗽或打喷嚏时喷出飞沫接触物体的表面。麻疹极易在住在一起的家人中和其他人群密集的地方传播。</w:t>
      </w:r>
    </w:p>
    <w:p w14:paraId="60D1E4B6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如果接种过两剂麻疹、腮腺炎和风疹</w:t>
      </w:r>
      <w:r>
        <w:rPr>
          <w:rFonts w:hint="eastAsia"/>
        </w:rPr>
        <w:t xml:space="preserve"> (MMR) </w:t>
      </w:r>
      <w:r>
        <w:rPr>
          <w:rFonts w:hint="eastAsia"/>
        </w:rPr>
        <w:t>联合疫苗，或者以前感染过麻疹，就不会再得麻疹。</w:t>
      </w:r>
      <w:r>
        <w:rPr>
          <w:rFonts w:hint="eastAsia"/>
        </w:rPr>
        <w:t xml:space="preserve"> </w:t>
      </w:r>
    </w:p>
    <w:p w14:paraId="60D1E4B7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麻疹患者在出现皮疹前的</w:t>
      </w:r>
      <w:r>
        <w:rPr>
          <w:rFonts w:hint="eastAsia"/>
        </w:rPr>
        <w:t xml:space="preserve"> 4 </w:t>
      </w:r>
      <w:r>
        <w:rPr>
          <w:rFonts w:hint="eastAsia"/>
        </w:rPr>
        <w:t>天内至出现皮疹后的</w:t>
      </w:r>
      <w:r>
        <w:rPr>
          <w:rFonts w:hint="eastAsia"/>
        </w:rPr>
        <w:t xml:space="preserve"> 4 </w:t>
      </w:r>
      <w:r>
        <w:rPr>
          <w:rFonts w:hint="eastAsia"/>
        </w:rPr>
        <w:t>天内可将病毒传染给他人。</w:t>
      </w:r>
      <w:r>
        <w:rPr>
          <w:rFonts w:hint="eastAsia"/>
        </w:rPr>
        <w:t xml:space="preserve">  </w:t>
      </w:r>
    </w:p>
    <w:p w14:paraId="60D1E4B8" w14:textId="77777777" w:rsidR="006B2BB0" w:rsidRDefault="00350FE5">
      <w:pPr>
        <w:spacing w:after="160"/>
        <w:rPr>
          <w:rFonts w:cs="Arial"/>
          <w:b/>
          <w:color w:val="007C91"/>
        </w:rPr>
      </w:pPr>
      <w:r>
        <w:rPr>
          <w:rFonts w:hint="eastAsia"/>
          <w:b/>
          <w:color w:val="007C91"/>
        </w:rPr>
        <w:t>感染麻疹后可能会出现哪些症状？</w:t>
      </w:r>
    </w:p>
    <w:p w14:paraId="60D1E4B9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麻疹的症状通常在感染病毒后</w:t>
      </w:r>
      <w:r>
        <w:rPr>
          <w:rFonts w:hint="eastAsia"/>
        </w:rPr>
        <w:t xml:space="preserve"> 10 </w:t>
      </w:r>
      <w:r>
        <w:rPr>
          <w:rFonts w:hint="eastAsia"/>
        </w:rPr>
        <w:t>到</w:t>
      </w:r>
      <w:r>
        <w:rPr>
          <w:rFonts w:hint="eastAsia"/>
        </w:rPr>
        <w:t xml:space="preserve"> 12 </w:t>
      </w:r>
      <w:r>
        <w:rPr>
          <w:rFonts w:hint="eastAsia"/>
        </w:rPr>
        <w:t>天内出现。有时可能要到感染后</w:t>
      </w:r>
      <w:r>
        <w:rPr>
          <w:rFonts w:hint="eastAsia"/>
        </w:rPr>
        <w:t xml:space="preserve"> 21 </w:t>
      </w:r>
      <w:r>
        <w:rPr>
          <w:rFonts w:hint="eastAsia"/>
        </w:rPr>
        <w:t>天内才会出现症状。</w:t>
      </w:r>
    </w:p>
    <w:p w14:paraId="60D1E4BA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最开始通常会出现类似感冒的症状。麻疹的早期症状有：</w:t>
      </w:r>
    </w:p>
    <w:p w14:paraId="60D1E4BB" w14:textId="77777777" w:rsidR="006B2BB0" w:rsidRDefault="00350FE5">
      <w:pPr>
        <w:numPr>
          <w:ilvl w:val="0"/>
          <w:numId w:val="5"/>
        </w:numPr>
        <w:spacing w:after="160"/>
        <w:contextualSpacing/>
        <w:rPr>
          <w:rFonts w:cs="Arial"/>
        </w:rPr>
      </w:pPr>
      <w:r>
        <w:rPr>
          <w:rFonts w:hint="eastAsia"/>
        </w:rPr>
        <w:t>发热</w:t>
      </w:r>
    </w:p>
    <w:p w14:paraId="60D1E4BC" w14:textId="77777777" w:rsidR="006B2BB0" w:rsidRDefault="00350FE5">
      <w:pPr>
        <w:numPr>
          <w:ilvl w:val="0"/>
          <w:numId w:val="5"/>
        </w:numPr>
        <w:spacing w:after="160"/>
        <w:contextualSpacing/>
        <w:rPr>
          <w:rFonts w:cs="Arial"/>
        </w:rPr>
      </w:pPr>
      <w:r>
        <w:rPr>
          <w:rFonts w:hint="eastAsia"/>
        </w:rPr>
        <w:t>流鼻涕或鼻塞</w:t>
      </w:r>
    </w:p>
    <w:p w14:paraId="60D1E4BD" w14:textId="77777777" w:rsidR="006B2BB0" w:rsidRDefault="00350FE5">
      <w:pPr>
        <w:numPr>
          <w:ilvl w:val="0"/>
          <w:numId w:val="5"/>
        </w:numPr>
        <w:spacing w:after="160"/>
        <w:contextualSpacing/>
        <w:rPr>
          <w:rFonts w:cs="Arial"/>
        </w:rPr>
      </w:pPr>
      <w:r>
        <w:rPr>
          <w:rFonts w:hint="eastAsia"/>
        </w:rPr>
        <w:t>打喷嚏</w:t>
      </w:r>
    </w:p>
    <w:p w14:paraId="60D1E4BE" w14:textId="77777777" w:rsidR="006B2BB0" w:rsidRDefault="00350FE5">
      <w:pPr>
        <w:numPr>
          <w:ilvl w:val="0"/>
          <w:numId w:val="5"/>
        </w:numPr>
        <w:spacing w:after="160"/>
        <w:contextualSpacing/>
        <w:rPr>
          <w:rFonts w:cs="Arial"/>
        </w:rPr>
      </w:pPr>
      <w:r>
        <w:rPr>
          <w:rFonts w:hint="eastAsia"/>
        </w:rPr>
        <w:t>咳嗽</w:t>
      </w:r>
    </w:p>
    <w:p w14:paraId="60D1E4BF" w14:textId="77777777" w:rsidR="006B2BB0" w:rsidRDefault="00350FE5">
      <w:pPr>
        <w:numPr>
          <w:ilvl w:val="0"/>
          <w:numId w:val="5"/>
        </w:numPr>
        <w:spacing w:after="160"/>
        <w:ind w:left="714" w:hanging="357"/>
        <w:rPr>
          <w:rFonts w:cs="Arial"/>
        </w:rPr>
      </w:pPr>
      <w:r>
        <w:rPr>
          <w:rFonts w:hint="eastAsia"/>
        </w:rPr>
        <w:t>红眼、眼睛疼痛、流泪</w:t>
      </w:r>
    </w:p>
    <w:p w14:paraId="60D1E4C0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几天后，脸颊内侧和嘴唇背面可见小白点。这些小白点通常会持续存在数天。</w:t>
      </w:r>
    </w:p>
    <w:p w14:paraId="60D1E4C1" w14:textId="77777777" w:rsidR="006B2BB0" w:rsidRPr="00D36FAE" w:rsidRDefault="00350FE5">
      <w:pPr>
        <w:spacing w:after="160"/>
      </w:pPr>
      <w:r>
        <w:rPr>
          <w:rFonts w:hint="eastAsia"/>
        </w:rPr>
        <w:t>皮疹通常在出现类似感冒症状的</w:t>
      </w:r>
      <w:r>
        <w:rPr>
          <w:rFonts w:hint="eastAsia"/>
        </w:rPr>
        <w:t xml:space="preserve"> 2 </w:t>
      </w:r>
      <w:r>
        <w:rPr>
          <w:rFonts w:hint="eastAsia"/>
        </w:rPr>
        <w:t>到</w:t>
      </w:r>
      <w:r>
        <w:rPr>
          <w:rFonts w:hint="eastAsia"/>
        </w:rPr>
        <w:t xml:space="preserve"> 4 </w:t>
      </w:r>
      <w:r w:rsidRPr="00D36FAE">
        <w:rPr>
          <w:rFonts w:hint="eastAsia"/>
        </w:rPr>
        <w:t>天后出现。</w:t>
      </w:r>
      <w:r w:rsidRPr="00D36FAE">
        <w:rPr>
          <w:rFonts w:hint="eastAsia"/>
          <w:shd w:val="clear" w:color="auto" w:fill="FFFFFF"/>
        </w:rPr>
        <w:t>皮疹从脸部和耳后开始出现，然后蔓延到身体其他部位。</w:t>
      </w:r>
    </w:p>
    <w:p w14:paraId="60D1E4C2" w14:textId="77777777" w:rsidR="006B2BB0" w:rsidRPr="00D36FAE" w:rsidRDefault="00350FE5">
      <w:pPr>
        <w:spacing w:after="160"/>
      </w:pPr>
      <w:r w:rsidRPr="00D36FAE">
        <w:rPr>
          <w:rFonts w:hint="eastAsia"/>
          <w:shd w:val="clear" w:color="auto" w:fill="FFFFFF"/>
        </w:rPr>
        <w:t>有些麻疹斑点会隆起。这些斑点可能会连在一起形成斑点状斑块。通常不发痒。</w:t>
      </w:r>
    </w:p>
    <w:p w14:paraId="60D1E4C3" w14:textId="77777777" w:rsidR="006B2BB0" w:rsidRPr="00D36FAE" w:rsidRDefault="00350FE5">
      <w:pPr>
        <w:spacing w:after="160"/>
        <w:rPr>
          <w:rFonts w:cs="Arial"/>
          <w:shd w:val="clear" w:color="auto" w:fill="FFFFFF"/>
        </w:rPr>
      </w:pPr>
      <w:r w:rsidRPr="00D36FAE">
        <w:rPr>
          <w:rFonts w:hint="eastAsia"/>
          <w:shd w:val="clear" w:color="auto" w:fill="FFFFFF"/>
        </w:rPr>
        <w:t>皮疹在白皮肤上呈棕色或红色。在棕色和黑色皮肤上可能不太明显。</w:t>
      </w:r>
    </w:p>
    <w:p w14:paraId="60D1E4C4" w14:textId="77777777" w:rsidR="006B2BB0" w:rsidRDefault="00350FE5">
      <w:pPr>
        <w:spacing w:after="160"/>
      </w:pPr>
      <w:r>
        <w:rPr>
          <w:rFonts w:hint="eastAsia"/>
          <w:b/>
          <w:color w:val="007C91"/>
        </w:rPr>
        <w:t>麻疹可能会带来哪些并发症？</w:t>
      </w:r>
    </w:p>
    <w:p w14:paraId="60D1E4C5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大约每</w:t>
      </w:r>
      <w:r>
        <w:rPr>
          <w:rFonts w:hint="eastAsia"/>
        </w:rPr>
        <w:t xml:space="preserve"> 15 </w:t>
      </w:r>
      <w:r>
        <w:rPr>
          <w:rFonts w:hint="eastAsia"/>
        </w:rPr>
        <w:t>名麻疹患者中就有</w:t>
      </w:r>
      <w:r>
        <w:rPr>
          <w:rFonts w:hint="eastAsia"/>
        </w:rPr>
        <w:t xml:space="preserve"> 1 </w:t>
      </w:r>
      <w:r>
        <w:rPr>
          <w:rFonts w:hint="eastAsia"/>
        </w:rPr>
        <w:t>名会出现严重并发症。幼儿、孕妇和免疫系统功能低下的人更容易出现严重并发症。</w:t>
      </w:r>
      <w:r>
        <w:rPr>
          <w:rFonts w:hint="eastAsia"/>
        </w:rPr>
        <w:t xml:space="preserve"> </w:t>
      </w:r>
    </w:p>
    <w:p w14:paraId="60D1E4C6" w14:textId="77777777" w:rsidR="006B2BB0" w:rsidRDefault="006B2BB0">
      <w:pPr>
        <w:spacing w:after="160"/>
        <w:rPr>
          <w:rFonts w:cs="Arial"/>
        </w:rPr>
      </w:pPr>
    </w:p>
    <w:p w14:paraId="60D1E4C7" w14:textId="77777777" w:rsidR="006B2BB0" w:rsidRDefault="006B2BB0">
      <w:pPr>
        <w:spacing w:after="160"/>
        <w:rPr>
          <w:rFonts w:cs="Arial"/>
        </w:rPr>
      </w:pPr>
    </w:p>
    <w:p w14:paraId="70386F3F" w14:textId="77777777" w:rsidR="001815DE" w:rsidRDefault="001815DE">
      <w:pPr>
        <w:spacing w:after="160"/>
        <w:rPr>
          <w:rFonts w:cs="Arial"/>
        </w:rPr>
      </w:pPr>
    </w:p>
    <w:p w14:paraId="5CA18AB9" w14:textId="77777777" w:rsidR="001815DE" w:rsidRDefault="001815DE">
      <w:pPr>
        <w:spacing w:after="160"/>
        <w:rPr>
          <w:rFonts w:cs="Arial"/>
        </w:rPr>
      </w:pPr>
    </w:p>
    <w:p w14:paraId="60D1E4C8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lastRenderedPageBreak/>
        <w:t>麻疹的严重并发症包括：</w:t>
      </w:r>
      <w:r>
        <w:rPr>
          <w:rFonts w:hint="eastAsia"/>
        </w:rPr>
        <w:t xml:space="preserve"> </w:t>
      </w:r>
    </w:p>
    <w:p w14:paraId="60D1E4C9" w14:textId="77777777" w:rsidR="006B2BB0" w:rsidRDefault="00350FE5">
      <w:pPr>
        <w:numPr>
          <w:ilvl w:val="0"/>
          <w:numId w:val="6"/>
        </w:numPr>
        <w:spacing w:after="160"/>
        <w:contextualSpacing/>
        <w:rPr>
          <w:rFonts w:cs="Arial"/>
        </w:rPr>
      </w:pPr>
      <w:r>
        <w:rPr>
          <w:rFonts w:hint="eastAsia"/>
        </w:rPr>
        <w:t>耳部感染</w:t>
      </w:r>
    </w:p>
    <w:p w14:paraId="60D1E4CA" w14:textId="77777777" w:rsidR="006B2BB0" w:rsidRDefault="00350FE5">
      <w:pPr>
        <w:numPr>
          <w:ilvl w:val="0"/>
          <w:numId w:val="6"/>
        </w:numPr>
        <w:spacing w:after="160"/>
        <w:contextualSpacing/>
        <w:rPr>
          <w:rFonts w:cs="Arial"/>
        </w:rPr>
      </w:pPr>
      <w:r>
        <w:rPr>
          <w:rFonts w:hint="eastAsia"/>
        </w:rPr>
        <w:t>肺部感染（肺炎）</w:t>
      </w:r>
    </w:p>
    <w:p w14:paraId="60D1E4CB" w14:textId="77777777" w:rsidR="006B2BB0" w:rsidRDefault="00350FE5">
      <w:pPr>
        <w:numPr>
          <w:ilvl w:val="0"/>
          <w:numId w:val="6"/>
        </w:numPr>
        <w:ind w:left="714" w:hanging="357"/>
        <w:contextualSpacing/>
        <w:rPr>
          <w:rFonts w:cs="Arial"/>
        </w:rPr>
      </w:pPr>
      <w:r>
        <w:rPr>
          <w:rFonts w:hint="eastAsia"/>
        </w:rPr>
        <w:t>腹泻</w:t>
      </w:r>
    </w:p>
    <w:p w14:paraId="60D1E4CC" w14:textId="77777777" w:rsidR="006B2BB0" w:rsidRDefault="00350FE5">
      <w:pPr>
        <w:numPr>
          <w:ilvl w:val="0"/>
          <w:numId w:val="6"/>
        </w:numPr>
        <w:spacing w:after="160"/>
        <w:contextualSpacing/>
        <w:rPr>
          <w:rFonts w:cs="Arial"/>
        </w:rPr>
      </w:pPr>
      <w:r>
        <w:rPr>
          <w:rFonts w:hint="eastAsia"/>
        </w:rPr>
        <w:t>脱水</w:t>
      </w:r>
    </w:p>
    <w:p w14:paraId="60D1E4CD" w14:textId="77777777" w:rsidR="006B2BB0" w:rsidRDefault="00350FE5">
      <w:pPr>
        <w:numPr>
          <w:ilvl w:val="0"/>
          <w:numId w:val="6"/>
        </w:numPr>
        <w:spacing w:after="160"/>
        <w:contextualSpacing/>
        <w:rPr>
          <w:rFonts w:cs="Arial"/>
        </w:rPr>
      </w:pPr>
      <w:r>
        <w:rPr>
          <w:rFonts w:hint="eastAsia"/>
        </w:rPr>
        <w:t>癫痫发作（较少见）</w:t>
      </w:r>
    </w:p>
    <w:p w14:paraId="60D1E4CE" w14:textId="77777777" w:rsidR="006B2BB0" w:rsidRDefault="006B2BB0">
      <w:pPr>
        <w:spacing w:after="160"/>
        <w:rPr>
          <w:rFonts w:cs="Arial"/>
        </w:rPr>
      </w:pPr>
    </w:p>
    <w:p w14:paraId="60D1E4CF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怀孕期间感染麻疹可能导致胎儿夭折或早产。</w:t>
      </w:r>
      <w:r>
        <w:rPr>
          <w:rFonts w:hint="eastAsia"/>
        </w:rPr>
        <w:t xml:space="preserve"> </w:t>
      </w:r>
    </w:p>
    <w:p w14:paraId="60D1E4D0" w14:textId="77777777" w:rsidR="006B2BB0" w:rsidRDefault="00350FE5">
      <w:pPr>
        <w:spacing w:after="160"/>
        <w:rPr>
          <w:rFonts w:cs="Arial"/>
          <w:b/>
          <w:color w:val="007C91"/>
        </w:rPr>
      </w:pPr>
      <w:r>
        <w:rPr>
          <w:rFonts w:hint="eastAsia"/>
          <w:b/>
          <w:color w:val="007C91"/>
        </w:rPr>
        <w:t>如何预防麻疹？</w:t>
      </w:r>
    </w:p>
    <w:p w14:paraId="60D1E4D1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接种</w:t>
      </w:r>
      <w:r>
        <w:rPr>
          <w:rFonts w:hint="eastAsia"/>
        </w:rPr>
        <w:t xml:space="preserve"> MMR </w:t>
      </w:r>
      <w:r>
        <w:rPr>
          <w:rFonts w:hint="eastAsia"/>
        </w:rPr>
        <w:t>联合疫苗是预防麻疹的最佳方法。</w:t>
      </w:r>
    </w:p>
    <w:p w14:paraId="60D1E4D2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该疫苗通常分两剂给儿童接种。第一剂在儿童</w:t>
      </w:r>
      <w:r>
        <w:rPr>
          <w:rFonts w:hint="eastAsia"/>
        </w:rPr>
        <w:t xml:space="preserve"> 12 </w:t>
      </w:r>
      <w:r>
        <w:rPr>
          <w:rFonts w:hint="eastAsia"/>
        </w:rPr>
        <w:t>个月大时接种。第二剂在儿童</w:t>
      </w:r>
      <w:r>
        <w:rPr>
          <w:rFonts w:hint="eastAsia"/>
        </w:rPr>
        <w:t xml:space="preserve"> 3 </w:t>
      </w:r>
      <w:r>
        <w:rPr>
          <w:rFonts w:hint="eastAsia"/>
        </w:rPr>
        <w:t>岁</w:t>
      </w:r>
      <w:r>
        <w:rPr>
          <w:rFonts w:hint="eastAsia"/>
        </w:rPr>
        <w:t xml:space="preserve"> 4 </w:t>
      </w:r>
      <w:r>
        <w:rPr>
          <w:rFonts w:hint="eastAsia"/>
        </w:rPr>
        <w:t>个月大之后接种。</w:t>
      </w:r>
      <w:r>
        <w:rPr>
          <w:rFonts w:hint="eastAsia"/>
        </w:rPr>
        <w:t xml:space="preserve"> </w:t>
      </w:r>
    </w:p>
    <w:p w14:paraId="60D1E4D3" w14:textId="0376C789" w:rsidR="006B2BB0" w:rsidRDefault="00541771">
      <w:pPr>
        <w:spacing w:after="160"/>
        <w:rPr>
          <w:rFonts w:cs="Arial"/>
        </w:rPr>
      </w:pPr>
      <w:r>
        <w:rPr>
          <w:rFonts w:hint="eastAsia"/>
        </w:rPr>
        <w:t>如果您的孩子被确认为麻疹患者的密切接触者，</w:t>
      </w:r>
      <w:r w:rsidR="00350FE5">
        <w:rPr>
          <w:rFonts w:hint="eastAsia"/>
        </w:rPr>
        <w:t>医生可能会建议您提前接种</w:t>
      </w:r>
      <w:r w:rsidR="00350FE5">
        <w:rPr>
          <w:rFonts w:hint="eastAsia"/>
        </w:rPr>
        <w:t xml:space="preserve"> MMR </w:t>
      </w:r>
      <w:r w:rsidR="00350FE5">
        <w:rPr>
          <w:rFonts w:hint="eastAsia"/>
        </w:rPr>
        <w:t>联合疫苗。如果</w:t>
      </w:r>
      <w:r w:rsidR="00350FE5">
        <w:rPr>
          <w:rFonts w:hint="eastAsia"/>
        </w:rPr>
        <w:t xml:space="preserve"> 12 </w:t>
      </w:r>
      <w:r w:rsidR="00350FE5">
        <w:rPr>
          <w:rFonts w:hint="eastAsia"/>
        </w:rPr>
        <w:t>个月以下的婴儿已接种了一剂疫苗，则仍需在常规时间接种</w:t>
      </w:r>
      <w:r w:rsidR="00350FE5">
        <w:rPr>
          <w:rFonts w:hint="eastAsia"/>
        </w:rPr>
        <w:t xml:space="preserve"> 2 </w:t>
      </w:r>
      <w:r w:rsidR="00350FE5">
        <w:rPr>
          <w:rFonts w:hint="eastAsia"/>
        </w:rPr>
        <w:t>剂</w:t>
      </w:r>
      <w:r w:rsidR="00350FE5">
        <w:rPr>
          <w:rFonts w:hint="eastAsia"/>
        </w:rPr>
        <w:t xml:space="preserve"> MMR </w:t>
      </w:r>
      <w:r w:rsidR="00350FE5">
        <w:rPr>
          <w:rFonts w:hint="eastAsia"/>
        </w:rPr>
        <w:t>联合疫苗（接种一剂疫苗之后至少间隔</w:t>
      </w:r>
      <w:r w:rsidR="00350FE5">
        <w:rPr>
          <w:rFonts w:hint="eastAsia"/>
        </w:rPr>
        <w:t xml:space="preserve"> 1 </w:t>
      </w:r>
      <w:r w:rsidR="00350FE5">
        <w:rPr>
          <w:rFonts w:hint="eastAsia"/>
        </w:rPr>
        <w:t>个月再接种另一剂）。</w:t>
      </w:r>
    </w:p>
    <w:p w14:paraId="60D1E4D4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如果接种者错过了一剂疫苗接种或不确定其是否接种过疫苗，可以在任何年龄接种。家长和监护人可以在孩子的小红本上查看其疫苗接种记录。</w:t>
      </w:r>
    </w:p>
    <w:p w14:paraId="60D1E4D5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孕妇或免疫系统功能低下的人不应接种该疫苗，如果认为自己接触过麻疹患者，应向全科医生或助产士咨询，以获得进一步建议。</w:t>
      </w:r>
      <w:r>
        <w:rPr>
          <w:rFonts w:hint="eastAsia"/>
        </w:rPr>
        <w:t xml:space="preserve"> </w:t>
      </w:r>
    </w:p>
    <w:p w14:paraId="60D1E4D6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想要了解</w:t>
      </w:r>
      <w:r>
        <w:rPr>
          <w:rFonts w:hint="eastAsia"/>
        </w:rPr>
        <w:t xml:space="preserve"> MMR </w:t>
      </w:r>
      <w:r>
        <w:rPr>
          <w:rFonts w:hint="eastAsia"/>
        </w:rPr>
        <w:t>联合疫苗接种的更多信息，请访问网站：</w:t>
      </w:r>
      <w:r>
        <w:rPr>
          <w:rFonts w:hint="eastAsia"/>
        </w:rPr>
        <w:t xml:space="preserve"> </w:t>
      </w:r>
    </w:p>
    <w:p w14:paraId="60D1E4D7" w14:textId="77777777" w:rsidR="006B2BB0" w:rsidRDefault="00000000">
      <w:pPr>
        <w:spacing w:after="160"/>
      </w:pPr>
      <w:hyperlink r:id="rId12" w:history="1">
        <w:r w:rsidR="00350FE5">
          <w:rPr>
            <w:rStyle w:val="Hyperlink"/>
            <w:rFonts w:hint="eastAsia"/>
          </w:rPr>
          <w:t>http://www.nhs.uk/conditions/vaccinations/mmr-vaccine</w:t>
        </w:r>
      </w:hyperlink>
      <w:r w:rsidR="00350FE5">
        <w:rPr>
          <w:rFonts w:hint="eastAsia"/>
          <w:color w:val="0563C1"/>
          <w:u w:val="single"/>
        </w:rPr>
        <w:t xml:space="preserve"> </w:t>
      </w:r>
    </w:p>
    <w:p w14:paraId="60D1E4D8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或扫描下方二维码：</w:t>
      </w:r>
    </w:p>
    <w:p w14:paraId="60D1E4D9" w14:textId="77777777" w:rsidR="006B2BB0" w:rsidRDefault="00350FE5">
      <w:pPr>
        <w:spacing w:after="160"/>
      </w:pPr>
      <w:r>
        <w:rPr>
          <w:rFonts w:hint="eastAsia"/>
          <w:b/>
          <w:noProof/>
          <w:color w:val="007C91"/>
          <w:lang w:val="en-US" w:bidi="my-MM"/>
        </w:rPr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A" w14:textId="77777777" w:rsidR="006B2BB0" w:rsidRDefault="006B2BB0">
      <w:pPr>
        <w:spacing w:after="160"/>
        <w:rPr>
          <w:rFonts w:cs="Arial"/>
          <w:b/>
          <w:bCs/>
          <w:color w:val="007C91"/>
        </w:rPr>
      </w:pPr>
    </w:p>
    <w:p w14:paraId="60D1E4DB" w14:textId="77777777" w:rsidR="006B2BB0" w:rsidRDefault="006B2BB0">
      <w:pPr>
        <w:spacing w:after="160"/>
        <w:rPr>
          <w:rFonts w:cs="Arial"/>
          <w:b/>
          <w:bCs/>
          <w:color w:val="007C91"/>
        </w:rPr>
      </w:pPr>
    </w:p>
    <w:p w14:paraId="2C1CD18B" w14:textId="77777777" w:rsidR="001815DE" w:rsidRDefault="001815DE">
      <w:pPr>
        <w:spacing w:after="160"/>
        <w:rPr>
          <w:rFonts w:cs="Arial"/>
          <w:b/>
          <w:bCs/>
          <w:color w:val="007C91"/>
        </w:rPr>
      </w:pPr>
    </w:p>
    <w:p w14:paraId="60D1E4DC" w14:textId="77777777" w:rsidR="006B2BB0" w:rsidRDefault="00350FE5">
      <w:pPr>
        <w:spacing w:after="160"/>
        <w:rPr>
          <w:rFonts w:cs="Arial"/>
          <w:b/>
          <w:bCs/>
          <w:color w:val="007C91"/>
        </w:rPr>
      </w:pPr>
      <w:r>
        <w:rPr>
          <w:rFonts w:hint="eastAsia"/>
          <w:b/>
          <w:color w:val="007C91"/>
        </w:rPr>
        <w:lastRenderedPageBreak/>
        <w:t>如患麻疹，何时可以恢复正常社交活动？</w:t>
      </w:r>
    </w:p>
    <w:p w14:paraId="60D1E4DD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麻疹患者可在出现皮疹前的</w:t>
      </w:r>
      <w:r>
        <w:rPr>
          <w:rFonts w:hint="eastAsia"/>
        </w:rPr>
        <w:t xml:space="preserve"> 4 </w:t>
      </w:r>
      <w:r>
        <w:rPr>
          <w:rFonts w:hint="eastAsia"/>
        </w:rPr>
        <w:t>天内将病毒传染给他人。出现皮疹后的</w:t>
      </w:r>
      <w:r>
        <w:rPr>
          <w:rFonts w:hint="eastAsia"/>
        </w:rPr>
        <w:t xml:space="preserve"> 4 </w:t>
      </w:r>
      <w:r>
        <w:rPr>
          <w:rFonts w:hint="eastAsia"/>
        </w:rPr>
        <w:t>天内，麻疹患者仍可传染病毒。</w:t>
      </w:r>
      <w:r>
        <w:rPr>
          <w:rFonts w:hint="eastAsia"/>
        </w:rPr>
        <w:t xml:space="preserve"> </w:t>
      </w:r>
    </w:p>
    <w:p w14:paraId="60D1E4DE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如果医护人员告诉您可能得了麻疹，您应在出现皮疹后至少</w:t>
      </w:r>
      <w:r>
        <w:rPr>
          <w:rFonts w:hint="eastAsia"/>
        </w:rPr>
        <w:t xml:space="preserve"> 4 </w:t>
      </w:r>
      <w:r>
        <w:rPr>
          <w:rFonts w:hint="eastAsia"/>
        </w:rPr>
        <w:t>天内远离学校、托儿所或工作场所。</w:t>
      </w:r>
      <w:r>
        <w:rPr>
          <w:rFonts w:hint="eastAsia"/>
        </w:rPr>
        <w:t xml:space="preserve">4 </w:t>
      </w:r>
      <w:r>
        <w:rPr>
          <w:rFonts w:hint="eastAsia"/>
        </w:rPr>
        <w:t>天后，如果您没有感觉身体不适且不再发烧，就可以恢复正常活动。</w:t>
      </w:r>
    </w:p>
    <w:p w14:paraId="60D1E4DF" w14:textId="77777777" w:rsidR="006B2BB0" w:rsidRDefault="00350FE5">
      <w:pPr>
        <w:spacing w:after="160"/>
      </w:pPr>
      <w:r>
        <w:rPr>
          <w:rFonts w:hint="eastAsia"/>
          <w:b/>
          <w:color w:val="007C91"/>
        </w:rPr>
        <w:t>如何治疗麻疹？</w:t>
      </w:r>
    </w:p>
    <w:p w14:paraId="60D1E4E0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麻疹通常会在一周左右开始好转。</w:t>
      </w:r>
    </w:p>
    <w:p w14:paraId="60D1E4E1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保持良好休息，同时多补充液体（如喝水）以防止脱水。</w:t>
      </w:r>
    </w:p>
    <w:p w14:paraId="60D1E4E2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麻疹有时会引发其他疾病。医生可能会给您开具抗生素来治疗这些疾病。</w:t>
      </w:r>
      <w:r>
        <w:rPr>
          <w:rFonts w:hint="eastAsia"/>
        </w:rPr>
        <w:t xml:space="preserve">  </w:t>
      </w:r>
    </w:p>
    <w:p w14:paraId="60D1E4E3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如果您担心孩子出现并发症，应联系医生。如果医护人员告诉您可能患有麻疹，并且认为您或您的孩子出现了更严重的并发症等，请联系您的全科医生。</w:t>
      </w:r>
      <w:r>
        <w:rPr>
          <w:rFonts w:hint="eastAsia"/>
        </w:rPr>
        <w:t xml:space="preserve"> </w:t>
      </w:r>
    </w:p>
    <w:p w14:paraId="60D1E4E4" w14:textId="77777777" w:rsidR="006B2BB0" w:rsidRDefault="00350FE5">
      <w:pPr>
        <w:spacing w:after="160"/>
      </w:pPr>
      <w:r>
        <w:rPr>
          <w:rFonts w:hint="eastAsia"/>
          <w:b/>
          <w:color w:val="007C91"/>
        </w:rPr>
        <w:t>想要了解有关麻疹的更多信息，请访问：</w:t>
      </w:r>
    </w:p>
    <w:p w14:paraId="60D1E4E5" w14:textId="77777777" w:rsidR="006B2BB0" w:rsidRDefault="00000000">
      <w:pPr>
        <w:spacing w:after="160"/>
      </w:pPr>
      <w:hyperlink r:id="rId14" w:history="1">
        <w:r w:rsidR="00350FE5">
          <w:rPr>
            <w:rStyle w:val="Hyperlink"/>
            <w:rFonts w:hint="eastAsia"/>
          </w:rPr>
          <w:t>http://www.nhs.uk/conditions/measles</w:t>
        </w:r>
      </w:hyperlink>
    </w:p>
    <w:p w14:paraId="60D1E4E6" w14:textId="77777777" w:rsidR="006B2BB0" w:rsidRDefault="00350FE5">
      <w:pPr>
        <w:spacing w:after="160"/>
        <w:rPr>
          <w:rFonts w:cs="Arial"/>
        </w:rPr>
      </w:pPr>
      <w:r>
        <w:rPr>
          <w:rFonts w:hint="eastAsia"/>
        </w:rPr>
        <w:t>或扫描下方二维码：</w:t>
      </w:r>
    </w:p>
    <w:p w14:paraId="60D1E4E7" w14:textId="77777777" w:rsidR="006B2BB0" w:rsidRDefault="00350FE5">
      <w:pPr>
        <w:spacing w:after="160" w:line="256" w:lineRule="auto"/>
      </w:pPr>
      <w:r>
        <w:rPr>
          <w:rFonts w:hint="eastAsia"/>
          <w:noProof/>
          <w:lang w:val="en-US" w:bidi="my-MM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E8" w14:textId="77777777" w:rsidR="006B2BB0" w:rsidRDefault="006B2BB0">
      <w:pPr>
        <w:spacing w:after="160" w:line="256" w:lineRule="auto"/>
      </w:pPr>
    </w:p>
    <w:p w14:paraId="60D1E4E9" w14:textId="77777777" w:rsidR="006B2BB0" w:rsidRDefault="006B2BB0">
      <w:pPr>
        <w:spacing w:after="160" w:line="256" w:lineRule="auto"/>
        <w:rPr>
          <w:rFonts w:ascii="Calibri" w:hAnsi="Calibri" w:cs="Calibri"/>
          <w:b/>
          <w:color w:val="009999"/>
          <w:sz w:val="22"/>
          <w:szCs w:val="22"/>
        </w:rPr>
      </w:pPr>
    </w:p>
    <w:sectPr w:rsidR="006B2BB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B150" w14:textId="77777777" w:rsidR="00B2209B" w:rsidRDefault="00B2209B">
      <w:r>
        <w:separator/>
      </w:r>
    </w:p>
  </w:endnote>
  <w:endnote w:type="continuationSeparator" w:id="0">
    <w:p w14:paraId="11E12BC4" w14:textId="77777777" w:rsidR="00B2209B" w:rsidRDefault="00B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FD8C" w14:textId="77777777" w:rsidR="00B2209B" w:rsidRDefault="00B2209B">
      <w:r>
        <w:rPr>
          <w:color w:val="000000"/>
        </w:rPr>
        <w:separator/>
      </w:r>
    </w:p>
  </w:footnote>
  <w:footnote w:type="continuationSeparator" w:id="0">
    <w:p w14:paraId="3F40050D" w14:textId="77777777" w:rsidR="00B2209B" w:rsidRDefault="00B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779102176">
    <w:abstractNumId w:val="5"/>
  </w:num>
  <w:num w:numId="2" w16cid:durableId="200751459">
    <w:abstractNumId w:val="2"/>
  </w:num>
  <w:num w:numId="3" w16cid:durableId="52242831">
    <w:abstractNumId w:val="3"/>
  </w:num>
  <w:num w:numId="4" w16cid:durableId="145438274">
    <w:abstractNumId w:val="0"/>
  </w:num>
  <w:num w:numId="5" w16cid:durableId="405693442">
    <w:abstractNumId w:val="4"/>
  </w:num>
  <w:num w:numId="6" w16cid:durableId="116532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101456"/>
    <w:rsid w:val="001815DE"/>
    <w:rsid w:val="002009CF"/>
    <w:rsid w:val="00261663"/>
    <w:rsid w:val="00350FE5"/>
    <w:rsid w:val="003E7FE9"/>
    <w:rsid w:val="004F5CD1"/>
    <w:rsid w:val="00541771"/>
    <w:rsid w:val="00664976"/>
    <w:rsid w:val="00674990"/>
    <w:rsid w:val="006B2BB0"/>
    <w:rsid w:val="00767DC2"/>
    <w:rsid w:val="007A43FD"/>
    <w:rsid w:val="008F666E"/>
    <w:rsid w:val="009123D5"/>
    <w:rsid w:val="009417A9"/>
    <w:rsid w:val="00B17708"/>
    <w:rsid w:val="00B2209B"/>
    <w:rsid w:val="00D36FAE"/>
    <w:rsid w:val="00D96DCB"/>
    <w:rsid w:val="00EF17A2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GB" w:eastAsia="zh-CN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3B3-315C-4460-AAD8-0FB4551964C0}">
  <ds:schemaRefs>
    <ds:schemaRef ds:uri="http://schemas.microsoft.com/office/2006/metadata/properties"/>
    <ds:schemaRef ds:uri="http://schemas.microsoft.com/office/infopath/2007/PartnerControls"/>
    <ds:schemaRef ds:uri="4ab62319-d368-45c8-b380-b41b6fe327bd"/>
  </ds:schemaRefs>
</ds:datastoreItem>
</file>

<file path=customXml/itemProps3.xml><?xml version="1.0" encoding="utf-8"?>
<ds:datastoreItem xmlns:ds="http://schemas.openxmlformats.org/officeDocument/2006/customXml" ds:itemID="{B62B9F90-55B4-479C-97E4-4178A043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Mandarin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Mandarin</dc:title>
  <dc:subject/>
  <dc:creator>UK Health Security Agency</dc:creator>
  <dc:description/>
  <cp:revision>3</cp:revision>
  <dcterms:created xsi:type="dcterms:W3CDTF">2024-02-29T16:46:00Z</dcterms:created>
  <dcterms:modified xsi:type="dcterms:W3CDTF">2024-03-08T14:34:00Z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