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DE0BB" w14:textId="77777777" w:rsidR="00D36ADB" w:rsidRDefault="00D36ADB" w:rsidP="00D36ADB"/>
    <w:p w14:paraId="73F314D6" w14:textId="77777777" w:rsidR="00D36ADB" w:rsidRDefault="00AF666F" w:rsidP="00D36ADB">
      <w:pPr>
        <w:rPr>
          <w:noProof/>
        </w:rPr>
      </w:pPr>
      <w:r w:rsidRPr="00D36ADB">
        <w:rPr>
          <w:noProof/>
        </w:rPr>
        <w:drawing>
          <wp:inline distT="0" distB="0" distL="0" distR="0" wp14:anchorId="294D88B5" wp14:editId="1E82577B">
            <wp:extent cx="1760220" cy="762000"/>
            <wp:effectExtent l="0" t="0" r="0" b="0"/>
            <wp:docPr id="11" name="Picture 2" descr="F:\COSI_SHR\Publications Print and Design\Brand Management\Home Office\Templates\New\PowerPoint\Home-Office_RGB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SI_SHR\Publications Print and Design\Brand Management\Home Office\Templates\New\PowerPoint\Home-Office_RGB_AW.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0220" cy="762000"/>
                    </a:xfrm>
                    <a:prstGeom prst="rect">
                      <a:avLst/>
                    </a:prstGeom>
                    <a:noFill/>
                    <a:ln>
                      <a:noFill/>
                    </a:ln>
                  </pic:spPr>
                </pic:pic>
              </a:graphicData>
            </a:graphic>
          </wp:inline>
        </w:drawing>
      </w:r>
    </w:p>
    <w:p w14:paraId="4F734AB4" w14:textId="77777777" w:rsidR="00D36ADB" w:rsidRDefault="00D36ADB" w:rsidP="00D36ADB">
      <w:pPr>
        <w:rPr>
          <w:noProof/>
        </w:rPr>
      </w:pPr>
    </w:p>
    <w:p w14:paraId="1505CA10" w14:textId="77777777" w:rsidR="00D36ADB" w:rsidRDefault="00D36ADB" w:rsidP="00D36ADB">
      <w:pPr>
        <w:rPr>
          <w:noProof/>
        </w:rPr>
      </w:pPr>
    </w:p>
    <w:p w14:paraId="1A258628" w14:textId="77777777" w:rsidR="00D36ADB" w:rsidRDefault="00D36ADB" w:rsidP="00D36ADB">
      <w:pPr>
        <w:rPr>
          <w:noProof/>
        </w:rPr>
      </w:pPr>
    </w:p>
    <w:p w14:paraId="2C9864CE" w14:textId="77777777" w:rsidR="00D36ADB" w:rsidRDefault="00D36ADB" w:rsidP="00D36ADB"/>
    <w:p w14:paraId="6D5FF61E" w14:textId="77777777" w:rsidR="00D36ADB" w:rsidRDefault="00D36ADB" w:rsidP="00D36ADB"/>
    <w:p w14:paraId="1571E173" w14:textId="77777777" w:rsidR="009D11D8" w:rsidRDefault="009D11D8" w:rsidP="00D36ADB">
      <w:pPr>
        <w:rPr>
          <w:rFonts w:eastAsia="Arial" w:cs="Arial"/>
          <w:b/>
          <w:sz w:val="56"/>
          <w:szCs w:val="56"/>
        </w:rPr>
      </w:pPr>
    </w:p>
    <w:p w14:paraId="4CE2B8B1" w14:textId="2AF9ECF7" w:rsidR="00D36ADB" w:rsidRPr="009D11D8" w:rsidRDefault="00D36ADB" w:rsidP="00D36ADB">
      <w:pPr>
        <w:rPr>
          <w:rFonts w:eastAsia="Arial" w:cs="Arial"/>
          <w:b/>
          <w:color w:val="7030A0"/>
          <w:sz w:val="56"/>
          <w:szCs w:val="56"/>
        </w:rPr>
      </w:pPr>
      <w:r w:rsidRPr="009D11D8">
        <w:rPr>
          <w:rFonts w:eastAsia="Arial" w:cs="Arial"/>
          <w:b/>
          <w:color w:val="7030A0"/>
          <w:sz w:val="56"/>
          <w:szCs w:val="56"/>
        </w:rPr>
        <w:t xml:space="preserve">Integrated Assurance </w:t>
      </w:r>
      <w:r w:rsidR="00537A5B">
        <w:rPr>
          <w:rFonts w:eastAsia="Arial" w:cs="Arial"/>
          <w:b/>
          <w:color w:val="7030A0"/>
          <w:sz w:val="56"/>
          <w:szCs w:val="56"/>
        </w:rPr>
        <w:t xml:space="preserve">and Approvals </w:t>
      </w:r>
      <w:r w:rsidRPr="009D11D8">
        <w:rPr>
          <w:rFonts w:eastAsia="Arial" w:cs="Arial"/>
          <w:b/>
          <w:color w:val="7030A0"/>
          <w:sz w:val="56"/>
          <w:szCs w:val="56"/>
        </w:rPr>
        <w:t>Strategy</w:t>
      </w:r>
      <w:r w:rsidR="00F842CC" w:rsidRPr="009D11D8">
        <w:rPr>
          <w:rFonts w:eastAsia="Arial" w:cs="Arial"/>
          <w:b/>
          <w:color w:val="7030A0"/>
          <w:sz w:val="56"/>
          <w:szCs w:val="56"/>
        </w:rPr>
        <w:t xml:space="preserve"> for Programmes and Projects</w:t>
      </w:r>
    </w:p>
    <w:p w14:paraId="30D435D1" w14:textId="77777777" w:rsidR="00D36ADB" w:rsidRPr="009D11D8" w:rsidRDefault="00D36ADB" w:rsidP="00D36ADB">
      <w:pPr>
        <w:rPr>
          <w:rFonts w:eastAsia="Arial" w:cs="Arial"/>
        </w:rPr>
      </w:pPr>
    </w:p>
    <w:p w14:paraId="582172C2" w14:textId="77777777" w:rsidR="00D36ADB" w:rsidRPr="009D11D8" w:rsidRDefault="00D36ADB" w:rsidP="00D36ADB">
      <w:pPr>
        <w:rPr>
          <w:rFonts w:eastAsia="Arial" w:cs="Arial"/>
        </w:rPr>
      </w:pPr>
    </w:p>
    <w:p w14:paraId="163C6288" w14:textId="77777777" w:rsidR="00D36ADB" w:rsidRPr="009D11D8" w:rsidRDefault="00D36ADB" w:rsidP="00D36ADB">
      <w:pPr>
        <w:rPr>
          <w:rFonts w:eastAsia="Arial" w:cs="Arial"/>
        </w:rPr>
      </w:pPr>
    </w:p>
    <w:p w14:paraId="259CBE05" w14:textId="77777777" w:rsidR="00D36ADB" w:rsidRPr="009D11D8" w:rsidRDefault="00D36ADB" w:rsidP="00D36ADB">
      <w:pPr>
        <w:rPr>
          <w:rFonts w:eastAsia="Arial" w:cs="Arial"/>
        </w:rPr>
      </w:pPr>
    </w:p>
    <w:p w14:paraId="09328BA7" w14:textId="77777777" w:rsidR="009D11D8" w:rsidRDefault="009D11D8" w:rsidP="00D36ADB">
      <w:pPr>
        <w:rPr>
          <w:rFonts w:eastAsia="Arial" w:cs="Arial"/>
          <w:b/>
          <w:sz w:val="28"/>
          <w:szCs w:val="28"/>
        </w:rPr>
      </w:pPr>
    </w:p>
    <w:p w14:paraId="7324443B" w14:textId="77777777" w:rsidR="009D11D8" w:rsidRDefault="009D11D8" w:rsidP="00D36ADB">
      <w:pPr>
        <w:rPr>
          <w:rFonts w:eastAsia="Arial" w:cs="Arial"/>
          <w:b/>
          <w:sz w:val="28"/>
          <w:szCs w:val="28"/>
        </w:rPr>
      </w:pPr>
    </w:p>
    <w:p w14:paraId="515A7EF9" w14:textId="77777777" w:rsidR="009D11D8" w:rsidRDefault="009D11D8" w:rsidP="00D36ADB">
      <w:pPr>
        <w:rPr>
          <w:rFonts w:eastAsia="Arial" w:cs="Arial"/>
          <w:b/>
          <w:sz w:val="28"/>
          <w:szCs w:val="28"/>
        </w:rPr>
      </w:pPr>
    </w:p>
    <w:p w14:paraId="17C5F3E5" w14:textId="77777777" w:rsidR="009D11D8" w:rsidRDefault="009D11D8" w:rsidP="00D36ADB">
      <w:pPr>
        <w:rPr>
          <w:rFonts w:eastAsia="Arial" w:cs="Arial"/>
          <w:b/>
          <w:sz w:val="28"/>
          <w:szCs w:val="28"/>
        </w:rPr>
      </w:pPr>
    </w:p>
    <w:p w14:paraId="202A5F13" w14:textId="77777777" w:rsidR="009D11D8" w:rsidRDefault="009D11D8" w:rsidP="00D36ADB">
      <w:pPr>
        <w:rPr>
          <w:rFonts w:eastAsia="Arial" w:cs="Arial"/>
          <w:b/>
          <w:sz w:val="28"/>
          <w:szCs w:val="28"/>
        </w:rPr>
      </w:pPr>
    </w:p>
    <w:p w14:paraId="148E2F4D" w14:textId="77777777" w:rsidR="009D11D8" w:rsidRDefault="009D11D8" w:rsidP="00D36ADB">
      <w:pPr>
        <w:rPr>
          <w:rFonts w:eastAsia="Arial" w:cs="Arial"/>
          <w:b/>
          <w:sz w:val="28"/>
          <w:szCs w:val="28"/>
        </w:rPr>
      </w:pPr>
    </w:p>
    <w:p w14:paraId="2DB956D2" w14:textId="77777777" w:rsidR="009D11D8" w:rsidRDefault="009D11D8" w:rsidP="00D36ADB">
      <w:pPr>
        <w:rPr>
          <w:rFonts w:eastAsia="Arial" w:cs="Arial"/>
          <w:b/>
          <w:sz w:val="28"/>
          <w:szCs w:val="28"/>
        </w:rPr>
      </w:pPr>
    </w:p>
    <w:p w14:paraId="3A447275" w14:textId="77777777" w:rsidR="009D11D8" w:rsidRDefault="009D11D8" w:rsidP="00D36ADB">
      <w:pPr>
        <w:rPr>
          <w:rFonts w:eastAsia="Arial" w:cs="Arial"/>
          <w:b/>
          <w:sz w:val="28"/>
          <w:szCs w:val="28"/>
        </w:rPr>
      </w:pPr>
    </w:p>
    <w:p w14:paraId="6EE7C6DF" w14:textId="77777777" w:rsidR="009D11D8" w:rsidRDefault="009D11D8" w:rsidP="00D36ADB">
      <w:pPr>
        <w:rPr>
          <w:rFonts w:eastAsia="Arial" w:cs="Arial"/>
          <w:b/>
          <w:sz w:val="28"/>
          <w:szCs w:val="28"/>
        </w:rPr>
      </w:pPr>
    </w:p>
    <w:p w14:paraId="4CC54715" w14:textId="77777777" w:rsidR="009D11D8" w:rsidRDefault="009D11D8" w:rsidP="00D36ADB">
      <w:pPr>
        <w:rPr>
          <w:rFonts w:eastAsia="Arial" w:cs="Arial"/>
          <w:b/>
          <w:sz w:val="28"/>
          <w:szCs w:val="28"/>
        </w:rPr>
      </w:pPr>
    </w:p>
    <w:p w14:paraId="4744C406" w14:textId="77777777" w:rsidR="00D36ADB" w:rsidRPr="009D11D8" w:rsidRDefault="009D11D8" w:rsidP="00D36ADB">
      <w:pPr>
        <w:rPr>
          <w:rFonts w:cs="Arial"/>
          <w:sz w:val="28"/>
          <w:szCs w:val="28"/>
        </w:rPr>
      </w:pPr>
      <w:r w:rsidRPr="009D11D8">
        <w:rPr>
          <w:rFonts w:eastAsia="Arial" w:cs="Arial"/>
          <w:b/>
          <w:sz w:val="28"/>
          <w:szCs w:val="28"/>
        </w:rPr>
        <w:t>Portfolio and Project Delivery Directorate</w:t>
      </w:r>
    </w:p>
    <w:p w14:paraId="3420FA63" w14:textId="2589D0B1" w:rsidR="00D36ADB" w:rsidRPr="009D11D8" w:rsidRDefault="0020241B" w:rsidP="00D36ADB">
      <w:pPr>
        <w:rPr>
          <w:sz w:val="28"/>
          <w:szCs w:val="28"/>
        </w:rPr>
      </w:pPr>
      <w:r>
        <w:rPr>
          <w:sz w:val="28"/>
          <w:szCs w:val="28"/>
        </w:rPr>
        <w:t>August</w:t>
      </w:r>
      <w:r w:rsidR="00D36ADB" w:rsidRPr="009D11D8">
        <w:rPr>
          <w:sz w:val="28"/>
          <w:szCs w:val="28"/>
        </w:rPr>
        <w:t xml:space="preserve"> 2018</w:t>
      </w:r>
      <w:r>
        <w:rPr>
          <w:sz w:val="28"/>
          <w:szCs w:val="28"/>
        </w:rPr>
        <w:t xml:space="preserve"> – Version </w:t>
      </w:r>
      <w:r w:rsidR="00537A5B">
        <w:rPr>
          <w:sz w:val="28"/>
          <w:szCs w:val="28"/>
        </w:rPr>
        <w:t>2</w:t>
      </w:r>
    </w:p>
    <w:p w14:paraId="70328A7E" w14:textId="77777777" w:rsidR="00D36ADB" w:rsidRDefault="00D36ADB" w:rsidP="00D01103">
      <w:pPr>
        <w:rPr>
          <w:noProof/>
        </w:rPr>
      </w:pPr>
    </w:p>
    <w:p w14:paraId="0DEB8916" w14:textId="77777777" w:rsidR="00496008" w:rsidRDefault="00496008">
      <w:pPr>
        <w:pStyle w:val="TOCHeading"/>
        <w:rPr>
          <w:b w:val="0"/>
          <w:color w:val="7030A0"/>
        </w:rPr>
      </w:pPr>
      <w:r w:rsidRPr="009D11D8">
        <w:rPr>
          <w:color w:val="7030A0"/>
        </w:rPr>
        <w:lastRenderedPageBreak/>
        <w:t>Contents</w:t>
      </w:r>
    </w:p>
    <w:p w14:paraId="1FF6CBE3" w14:textId="77777777" w:rsidR="009D11D8" w:rsidRPr="009D11D8" w:rsidRDefault="009D11D8" w:rsidP="009D11D8">
      <w:pPr>
        <w:rPr>
          <w:lang w:val="en-US" w:eastAsia="en-US"/>
        </w:rPr>
      </w:pPr>
    </w:p>
    <w:p w14:paraId="2BD38F5B" w14:textId="42615AA1" w:rsidR="008C0B3D" w:rsidRDefault="00DC4A12">
      <w:pPr>
        <w:pStyle w:val="TOC1"/>
        <w:tabs>
          <w:tab w:val="right" w:leader="dot" w:pos="9016"/>
        </w:tabs>
        <w:rPr>
          <w:rFonts w:asciiTheme="minorHAnsi" w:eastAsiaTheme="minorEastAsia" w:hAnsiTheme="minorHAnsi" w:cstheme="minorBidi"/>
          <w:noProof/>
          <w:sz w:val="22"/>
        </w:rPr>
      </w:pPr>
      <w:r>
        <w:fldChar w:fldCharType="begin"/>
      </w:r>
      <w:r>
        <w:instrText xml:space="preserve"> TOC \o "1-4" \h \z \u </w:instrText>
      </w:r>
      <w:r>
        <w:fldChar w:fldCharType="separate"/>
      </w:r>
      <w:hyperlink w:anchor="_Toc522098870" w:history="1">
        <w:r w:rsidR="008C0B3D" w:rsidRPr="00A94C6C">
          <w:rPr>
            <w:rStyle w:val="Hyperlink"/>
            <w:noProof/>
          </w:rPr>
          <w:t>Introduction</w:t>
        </w:r>
        <w:r w:rsidR="008C0B3D">
          <w:rPr>
            <w:noProof/>
            <w:webHidden/>
          </w:rPr>
          <w:tab/>
        </w:r>
        <w:r w:rsidR="008C0B3D">
          <w:rPr>
            <w:noProof/>
            <w:webHidden/>
          </w:rPr>
          <w:fldChar w:fldCharType="begin"/>
        </w:r>
        <w:r w:rsidR="008C0B3D">
          <w:rPr>
            <w:noProof/>
            <w:webHidden/>
          </w:rPr>
          <w:instrText xml:space="preserve"> PAGEREF _Toc522098870 \h </w:instrText>
        </w:r>
        <w:r w:rsidR="008C0B3D">
          <w:rPr>
            <w:noProof/>
            <w:webHidden/>
          </w:rPr>
        </w:r>
        <w:r w:rsidR="008C0B3D">
          <w:rPr>
            <w:noProof/>
            <w:webHidden/>
          </w:rPr>
          <w:fldChar w:fldCharType="separate"/>
        </w:r>
        <w:r w:rsidR="008C0B3D">
          <w:rPr>
            <w:noProof/>
            <w:webHidden/>
          </w:rPr>
          <w:t>3</w:t>
        </w:r>
        <w:r w:rsidR="008C0B3D">
          <w:rPr>
            <w:noProof/>
            <w:webHidden/>
          </w:rPr>
          <w:fldChar w:fldCharType="end"/>
        </w:r>
      </w:hyperlink>
    </w:p>
    <w:p w14:paraId="6E2F57B1" w14:textId="44490C17" w:rsidR="008C0B3D" w:rsidRDefault="00AD5B50">
      <w:pPr>
        <w:pStyle w:val="TOC3"/>
        <w:tabs>
          <w:tab w:val="right" w:leader="dot" w:pos="9016"/>
        </w:tabs>
        <w:rPr>
          <w:rFonts w:asciiTheme="minorHAnsi" w:eastAsiaTheme="minorEastAsia" w:hAnsiTheme="minorHAnsi" w:cstheme="minorBidi"/>
          <w:noProof/>
          <w:sz w:val="22"/>
        </w:rPr>
      </w:pPr>
      <w:hyperlink w:anchor="_Toc522098871" w:history="1">
        <w:r w:rsidR="008C0B3D" w:rsidRPr="00A94C6C">
          <w:rPr>
            <w:rStyle w:val="Hyperlink"/>
            <w:noProof/>
            <w:lang w:val="en" w:eastAsia="en-US"/>
          </w:rPr>
          <w:t>Purpose and scope</w:t>
        </w:r>
        <w:r w:rsidR="008C0B3D">
          <w:rPr>
            <w:noProof/>
            <w:webHidden/>
          </w:rPr>
          <w:tab/>
        </w:r>
        <w:r w:rsidR="008C0B3D">
          <w:rPr>
            <w:noProof/>
            <w:webHidden/>
          </w:rPr>
          <w:fldChar w:fldCharType="begin"/>
        </w:r>
        <w:r w:rsidR="008C0B3D">
          <w:rPr>
            <w:noProof/>
            <w:webHidden/>
          </w:rPr>
          <w:instrText xml:space="preserve"> PAGEREF _Toc522098871 \h </w:instrText>
        </w:r>
        <w:r w:rsidR="008C0B3D">
          <w:rPr>
            <w:noProof/>
            <w:webHidden/>
          </w:rPr>
        </w:r>
        <w:r w:rsidR="008C0B3D">
          <w:rPr>
            <w:noProof/>
            <w:webHidden/>
          </w:rPr>
          <w:fldChar w:fldCharType="separate"/>
        </w:r>
        <w:r w:rsidR="008C0B3D">
          <w:rPr>
            <w:noProof/>
            <w:webHidden/>
          </w:rPr>
          <w:t>3</w:t>
        </w:r>
        <w:r w:rsidR="008C0B3D">
          <w:rPr>
            <w:noProof/>
            <w:webHidden/>
          </w:rPr>
          <w:fldChar w:fldCharType="end"/>
        </w:r>
      </w:hyperlink>
    </w:p>
    <w:p w14:paraId="29442600" w14:textId="68C1A856" w:rsidR="008C0B3D" w:rsidRDefault="00AD5B50">
      <w:pPr>
        <w:pStyle w:val="TOC1"/>
        <w:tabs>
          <w:tab w:val="right" w:leader="dot" w:pos="9016"/>
        </w:tabs>
        <w:rPr>
          <w:rFonts w:asciiTheme="minorHAnsi" w:eastAsiaTheme="minorEastAsia" w:hAnsiTheme="minorHAnsi" w:cstheme="minorBidi"/>
          <w:noProof/>
          <w:sz w:val="22"/>
        </w:rPr>
      </w:pPr>
      <w:hyperlink w:anchor="_Toc522098872" w:history="1">
        <w:r w:rsidR="008C0B3D" w:rsidRPr="00A94C6C">
          <w:rPr>
            <w:rStyle w:val="Hyperlink"/>
            <w:noProof/>
            <w:lang w:val="en" w:eastAsia="en-US"/>
          </w:rPr>
          <w:t>Application of assurance</w:t>
        </w:r>
        <w:r w:rsidR="008C0B3D">
          <w:rPr>
            <w:noProof/>
            <w:webHidden/>
          </w:rPr>
          <w:tab/>
        </w:r>
        <w:r w:rsidR="008C0B3D">
          <w:rPr>
            <w:noProof/>
            <w:webHidden/>
          </w:rPr>
          <w:fldChar w:fldCharType="begin"/>
        </w:r>
        <w:r w:rsidR="008C0B3D">
          <w:rPr>
            <w:noProof/>
            <w:webHidden/>
          </w:rPr>
          <w:instrText xml:space="preserve"> PAGEREF _Toc522098872 \h </w:instrText>
        </w:r>
        <w:r w:rsidR="008C0B3D">
          <w:rPr>
            <w:noProof/>
            <w:webHidden/>
          </w:rPr>
        </w:r>
        <w:r w:rsidR="008C0B3D">
          <w:rPr>
            <w:noProof/>
            <w:webHidden/>
          </w:rPr>
          <w:fldChar w:fldCharType="separate"/>
        </w:r>
        <w:r w:rsidR="008C0B3D">
          <w:rPr>
            <w:noProof/>
            <w:webHidden/>
          </w:rPr>
          <w:t>4</w:t>
        </w:r>
        <w:r w:rsidR="008C0B3D">
          <w:rPr>
            <w:noProof/>
            <w:webHidden/>
          </w:rPr>
          <w:fldChar w:fldCharType="end"/>
        </w:r>
      </w:hyperlink>
    </w:p>
    <w:p w14:paraId="36729BDA" w14:textId="476D6C93" w:rsidR="008C0B3D" w:rsidRDefault="00AD5B50">
      <w:pPr>
        <w:pStyle w:val="TOC1"/>
        <w:tabs>
          <w:tab w:val="right" w:leader="dot" w:pos="9016"/>
        </w:tabs>
        <w:rPr>
          <w:rFonts w:asciiTheme="minorHAnsi" w:eastAsiaTheme="minorEastAsia" w:hAnsiTheme="minorHAnsi" w:cstheme="minorBidi"/>
          <w:noProof/>
          <w:sz w:val="22"/>
        </w:rPr>
      </w:pPr>
      <w:hyperlink w:anchor="_Toc522098873" w:history="1">
        <w:r w:rsidR="008C0B3D" w:rsidRPr="00A94C6C">
          <w:rPr>
            <w:rStyle w:val="Hyperlink"/>
            <w:noProof/>
            <w:lang w:val="en" w:eastAsia="en-US"/>
          </w:rPr>
          <w:t>Approvals</w:t>
        </w:r>
        <w:r w:rsidR="008C0B3D">
          <w:rPr>
            <w:noProof/>
            <w:webHidden/>
          </w:rPr>
          <w:tab/>
        </w:r>
        <w:r w:rsidR="008C0B3D">
          <w:rPr>
            <w:noProof/>
            <w:webHidden/>
          </w:rPr>
          <w:fldChar w:fldCharType="begin"/>
        </w:r>
        <w:r w:rsidR="008C0B3D">
          <w:rPr>
            <w:noProof/>
            <w:webHidden/>
          </w:rPr>
          <w:instrText xml:space="preserve"> PAGEREF _Toc522098873 \h </w:instrText>
        </w:r>
        <w:r w:rsidR="008C0B3D">
          <w:rPr>
            <w:noProof/>
            <w:webHidden/>
          </w:rPr>
        </w:r>
        <w:r w:rsidR="008C0B3D">
          <w:rPr>
            <w:noProof/>
            <w:webHidden/>
          </w:rPr>
          <w:fldChar w:fldCharType="separate"/>
        </w:r>
        <w:r w:rsidR="008C0B3D">
          <w:rPr>
            <w:noProof/>
            <w:webHidden/>
          </w:rPr>
          <w:t>6</w:t>
        </w:r>
        <w:r w:rsidR="008C0B3D">
          <w:rPr>
            <w:noProof/>
            <w:webHidden/>
          </w:rPr>
          <w:fldChar w:fldCharType="end"/>
        </w:r>
      </w:hyperlink>
    </w:p>
    <w:p w14:paraId="65D1C978" w14:textId="32C8923B" w:rsidR="008C0B3D" w:rsidRDefault="00AD5B50">
      <w:pPr>
        <w:pStyle w:val="TOC1"/>
        <w:tabs>
          <w:tab w:val="right" w:leader="dot" w:pos="9016"/>
        </w:tabs>
        <w:rPr>
          <w:rFonts w:asciiTheme="minorHAnsi" w:eastAsiaTheme="minorEastAsia" w:hAnsiTheme="minorHAnsi" w:cstheme="minorBidi"/>
          <w:noProof/>
          <w:sz w:val="22"/>
        </w:rPr>
      </w:pPr>
      <w:hyperlink w:anchor="_Toc522098874" w:history="1">
        <w:r w:rsidR="008C0B3D" w:rsidRPr="00A94C6C">
          <w:rPr>
            <w:rStyle w:val="Hyperlink"/>
            <w:noProof/>
            <w:lang w:val="en" w:eastAsia="en-US"/>
          </w:rPr>
          <w:t>Responsibilities and accountabilities</w:t>
        </w:r>
        <w:r w:rsidR="008C0B3D">
          <w:rPr>
            <w:noProof/>
            <w:webHidden/>
          </w:rPr>
          <w:tab/>
        </w:r>
        <w:r w:rsidR="008C0B3D">
          <w:rPr>
            <w:noProof/>
            <w:webHidden/>
          </w:rPr>
          <w:fldChar w:fldCharType="begin"/>
        </w:r>
        <w:r w:rsidR="008C0B3D">
          <w:rPr>
            <w:noProof/>
            <w:webHidden/>
          </w:rPr>
          <w:instrText xml:space="preserve"> PAGEREF _Toc522098874 \h </w:instrText>
        </w:r>
        <w:r w:rsidR="008C0B3D">
          <w:rPr>
            <w:noProof/>
            <w:webHidden/>
          </w:rPr>
        </w:r>
        <w:r w:rsidR="008C0B3D">
          <w:rPr>
            <w:noProof/>
            <w:webHidden/>
          </w:rPr>
          <w:fldChar w:fldCharType="separate"/>
        </w:r>
        <w:r w:rsidR="008C0B3D">
          <w:rPr>
            <w:noProof/>
            <w:webHidden/>
          </w:rPr>
          <w:t>7</w:t>
        </w:r>
        <w:r w:rsidR="008C0B3D">
          <w:rPr>
            <w:noProof/>
            <w:webHidden/>
          </w:rPr>
          <w:fldChar w:fldCharType="end"/>
        </w:r>
      </w:hyperlink>
    </w:p>
    <w:p w14:paraId="3C2AE12D" w14:textId="4BC10F54" w:rsidR="008C0B3D" w:rsidRDefault="00AD5B50">
      <w:pPr>
        <w:pStyle w:val="TOC1"/>
        <w:tabs>
          <w:tab w:val="right" w:leader="dot" w:pos="9016"/>
        </w:tabs>
        <w:rPr>
          <w:rFonts w:asciiTheme="minorHAnsi" w:eastAsiaTheme="minorEastAsia" w:hAnsiTheme="minorHAnsi" w:cstheme="minorBidi"/>
          <w:noProof/>
          <w:sz w:val="22"/>
        </w:rPr>
      </w:pPr>
      <w:hyperlink w:anchor="_Toc522098875" w:history="1">
        <w:r w:rsidR="008C0B3D" w:rsidRPr="00A94C6C">
          <w:rPr>
            <w:rStyle w:val="Hyperlink"/>
            <w:noProof/>
            <w:lang w:eastAsia="en-US"/>
          </w:rPr>
          <w:t>Reporting</w:t>
        </w:r>
        <w:r w:rsidR="008C0B3D">
          <w:rPr>
            <w:noProof/>
            <w:webHidden/>
          </w:rPr>
          <w:tab/>
        </w:r>
        <w:r w:rsidR="008C0B3D">
          <w:rPr>
            <w:noProof/>
            <w:webHidden/>
          </w:rPr>
          <w:fldChar w:fldCharType="begin"/>
        </w:r>
        <w:r w:rsidR="008C0B3D">
          <w:rPr>
            <w:noProof/>
            <w:webHidden/>
          </w:rPr>
          <w:instrText xml:space="preserve"> PAGEREF _Toc522098875 \h </w:instrText>
        </w:r>
        <w:r w:rsidR="008C0B3D">
          <w:rPr>
            <w:noProof/>
            <w:webHidden/>
          </w:rPr>
        </w:r>
        <w:r w:rsidR="008C0B3D">
          <w:rPr>
            <w:noProof/>
            <w:webHidden/>
          </w:rPr>
          <w:fldChar w:fldCharType="separate"/>
        </w:r>
        <w:r w:rsidR="008C0B3D">
          <w:rPr>
            <w:noProof/>
            <w:webHidden/>
          </w:rPr>
          <w:t>9</w:t>
        </w:r>
        <w:r w:rsidR="008C0B3D">
          <w:rPr>
            <w:noProof/>
            <w:webHidden/>
          </w:rPr>
          <w:fldChar w:fldCharType="end"/>
        </w:r>
      </w:hyperlink>
    </w:p>
    <w:p w14:paraId="540D5A5B" w14:textId="23A36FD3" w:rsidR="008C0B3D" w:rsidRDefault="00AD5B50">
      <w:pPr>
        <w:pStyle w:val="TOC1"/>
        <w:tabs>
          <w:tab w:val="right" w:leader="dot" w:pos="9016"/>
        </w:tabs>
        <w:rPr>
          <w:rFonts w:asciiTheme="minorHAnsi" w:eastAsiaTheme="minorEastAsia" w:hAnsiTheme="minorHAnsi" w:cstheme="minorBidi"/>
          <w:noProof/>
          <w:sz w:val="22"/>
        </w:rPr>
      </w:pPr>
      <w:hyperlink w:anchor="_Toc522098876" w:history="1">
        <w:r w:rsidR="008C0B3D" w:rsidRPr="00A94C6C">
          <w:rPr>
            <w:rStyle w:val="Hyperlink"/>
            <w:noProof/>
            <w:lang w:eastAsia="en-US"/>
          </w:rPr>
          <w:t>Integrated Assurance and Approval Plan (IAAP)</w:t>
        </w:r>
        <w:r w:rsidR="008C0B3D">
          <w:rPr>
            <w:noProof/>
            <w:webHidden/>
          </w:rPr>
          <w:tab/>
        </w:r>
        <w:r w:rsidR="008C0B3D">
          <w:rPr>
            <w:noProof/>
            <w:webHidden/>
          </w:rPr>
          <w:fldChar w:fldCharType="begin"/>
        </w:r>
        <w:r w:rsidR="008C0B3D">
          <w:rPr>
            <w:noProof/>
            <w:webHidden/>
          </w:rPr>
          <w:instrText xml:space="preserve"> PAGEREF _Toc522098876 \h </w:instrText>
        </w:r>
        <w:r w:rsidR="008C0B3D">
          <w:rPr>
            <w:noProof/>
            <w:webHidden/>
          </w:rPr>
        </w:r>
        <w:r w:rsidR="008C0B3D">
          <w:rPr>
            <w:noProof/>
            <w:webHidden/>
          </w:rPr>
          <w:fldChar w:fldCharType="separate"/>
        </w:r>
        <w:r w:rsidR="008C0B3D">
          <w:rPr>
            <w:noProof/>
            <w:webHidden/>
          </w:rPr>
          <w:t>10</w:t>
        </w:r>
        <w:r w:rsidR="008C0B3D">
          <w:rPr>
            <w:noProof/>
            <w:webHidden/>
          </w:rPr>
          <w:fldChar w:fldCharType="end"/>
        </w:r>
      </w:hyperlink>
    </w:p>
    <w:p w14:paraId="1F503B30" w14:textId="0083834B" w:rsidR="008C0B3D" w:rsidRDefault="00AD5B50">
      <w:pPr>
        <w:pStyle w:val="TOC1"/>
        <w:tabs>
          <w:tab w:val="right" w:leader="dot" w:pos="9016"/>
        </w:tabs>
        <w:rPr>
          <w:rFonts w:asciiTheme="minorHAnsi" w:eastAsiaTheme="minorEastAsia" w:hAnsiTheme="minorHAnsi" w:cstheme="minorBidi"/>
          <w:noProof/>
          <w:sz w:val="22"/>
        </w:rPr>
      </w:pPr>
      <w:hyperlink w:anchor="_Toc522098877" w:history="1">
        <w:r w:rsidR="008C0B3D" w:rsidRPr="00A94C6C">
          <w:rPr>
            <w:rStyle w:val="Hyperlink"/>
            <w:noProof/>
            <w:lang w:eastAsia="en-US"/>
          </w:rPr>
          <w:t>1</w:t>
        </w:r>
        <w:r w:rsidR="008C0B3D" w:rsidRPr="00A94C6C">
          <w:rPr>
            <w:rStyle w:val="Hyperlink"/>
            <w:noProof/>
            <w:vertAlign w:val="superscript"/>
            <w:lang w:eastAsia="en-US"/>
          </w:rPr>
          <w:t>st</w:t>
        </w:r>
        <w:r w:rsidR="008C0B3D" w:rsidRPr="00A94C6C">
          <w:rPr>
            <w:rStyle w:val="Hyperlink"/>
            <w:noProof/>
            <w:lang w:eastAsia="en-US"/>
          </w:rPr>
          <w:t xml:space="preserve"> Line of Assurance</w:t>
        </w:r>
        <w:r w:rsidR="008C0B3D">
          <w:rPr>
            <w:noProof/>
            <w:webHidden/>
          </w:rPr>
          <w:tab/>
        </w:r>
        <w:r w:rsidR="008C0B3D">
          <w:rPr>
            <w:noProof/>
            <w:webHidden/>
          </w:rPr>
          <w:fldChar w:fldCharType="begin"/>
        </w:r>
        <w:r w:rsidR="008C0B3D">
          <w:rPr>
            <w:noProof/>
            <w:webHidden/>
          </w:rPr>
          <w:instrText xml:space="preserve"> PAGEREF _Toc522098877 \h </w:instrText>
        </w:r>
        <w:r w:rsidR="008C0B3D">
          <w:rPr>
            <w:noProof/>
            <w:webHidden/>
          </w:rPr>
        </w:r>
        <w:r w:rsidR="008C0B3D">
          <w:rPr>
            <w:noProof/>
            <w:webHidden/>
          </w:rPr>
          <w:fldChar w:fldCharType="separate"/>
        </w:r>
        <w:r w:rsidR="008C0B3D">
          <w:rPr>
            <w:noProof/>
            <w:webHidden/>
          </w:rPr>
          <w:t>11</w:t>
        </w:r>
        <w:r w:rsidR="008C0B3D">
          <w:rPr>
            <w:noProof/>
            <w:webHidden/>
          </w:rPr>
          <w:fldChar w:fldCharType="end"/>
        </w:r>
      </w:hyperlink>
    </w:p>
    <w:p w14:paraId="63FB6A04" w14:textId="783EB0DA" w:rsidR="008C0B3D" w:rsidRDefault="00AD5B50">
      <w:pPr>
        <w:pStyle w:val="TOC1"/>
        <w:tabs>
          <w:tab w:val="right" w:leader="dot" w:pos="9016"/>
        </w:tabs>
        <w:rPr>
          <w:rFonts w:asciiTheme="minorHAnsi" w:eastAsiaTheme="minorEastAsia" w:hAnsiTheme="minorHAnsi" w:cstheme="minorBidi"/>
          <w:noProof/>
          <w:sz w:val="22"/>
        </w:rPr>
      </w:pPr>
      <w:hyperlink w:anchor="_Toc522098878" w:history="1">
        <w:r w:rsidR="008C0B3D" w:rsidRPr="00A94C6C">
          <w:rPr>
            <w:rStyle w:val="Hyperlink"/>
            <w:noProof/>
            <w:lang w:eastAsia="en-US"/>
          </w:rPr>
          <w:t>2</w:t>
        </w:r>
        <w:r w:rsidR="008C0B3D" w:rsidRPr="00A94C6C">
          <w:rPr>
            <w:rStyle w:val="Hyperlink"/>
            <w:noProof/>
            <w:vertAlign w:val="superscript"/>
            <w:lang w:eastAsia="en-US"/>
          </w:rPr>
          <w:t>nd</w:t>
        </w:r>
        <w:r w:rsidR="008C0B3D" w:rsidRPr="00A94C6C">
          <w:rPr>
            <w:rStyle w:val="Hyperlink"/>
            <w:noProof/>
            <w:lang w:eastAsia="en-US"/>
          </w:rPr>
          <w:t xml:space="preserve"> Line of Assurance - Interventions</w:t>
        </w:r>
        <w:r w:rsidR="008C0B3D">
          <w:rPr>
            <w:noProof/>
            <w:webHidden/>
          </w:rPr>
          <w:tab/>
        </w:r>
        <w:r w:rsidR="008C0B3D">
          <w:rPr>
            <w:noProof/>
            <w:webHidden/>
          </w:rPr>
          <w:fldChar w:fldCharType="begin"/>
        </w:r>
        <w:r w:rsidR="008C0B3D">
          <w:rPr>
            <w:noProof/>
            <w:webHidden/>
          </w:rPr>
          <w:instrText xml:space="preserve"> PAGEREF _Toc522098878 \h </w:instrText>
        </w:r>
        <w:r w:rsidR="008C0B3D">
          <w:rPr>
            <w:noProof/>
            <w:webHidden/>
          </w:rPr>
        </w:r>
        <w:r w:rsidR="008C0B3D">
          <w:rPr>
            <w:noProof/>
            <w:webHidden/>
          </w:rPr>
          <w:fldChar w:fldCharType="separate"/>
        </w:r>
        <w:r w:rsidR="008C0B3D">
          <w:rPr>
            <w:noProof/>
            <w:webHidden/>
          </w:rPr>
          <w:t>12</w:t>
        </w:r>
        <w:r w:rsidR="008C0B3D">
          <w:rPr>
            <w:noProof/>
            <w:webHidden/>
          </w:rPr>
          <w:fldChar w:fldCharType="end"/>
        </w:r>
      </w:hyperlink>
    </w:p>
    <w:p w14:paraId="3F1F0387" w14:textId="071E5ECB" w:rsidR="008C0B3D" w:rsidRDefault="00AD5B50">
      <w:pPr>
        <w:pStyle w:val="TOC4"/>
        <w:tabs>
          <w:tab w:val="right" w:leader="dot" w:pos="9016"/>
        </w:tabs>
        <w:rPr>
          <w:rFonts w:asciiTheme="minorHAnsi" w:eastAsiaTheme="minorEastAsia" w:hAnsiTheme="minorHAnsi" w:cstheme="minorBidi"/>
          <w:noProof/>
          <w:sz w:val="22"/>
        </w:rPr>
      </w:pPr>
      <w:hyperlink w:anchor="_Toc522098879" w:history="1">
        <w:r w:rsidR="008C0B3D" w:rsidRPr="00A94C6C">
          <w:rPr>
            <w:rStyle w:val="Hyperlink"/>
            <w:noProof/>
            <w:lang w:eastAsia="en-US"/>
          </w:rPr>
          <w:t>Gateway Assurance</w:t>
        </w:r>
        <w:r w:rsidR="008C0B3D">
          <w:rPr>
            <w:noProof/>
            <w:webHidden/>
          </w:rPr>
          <w:tab/>
        </w:r>
        <w:r w:rsidR="008C0B3D">
          <w:rPr>
            <w:noProof/>
            <w:webHidden/>
          </w:rPr>
          <w:fldChar w:fldCharType="begin"/>
        </w:r>
        <w:r w:rsidR="008C0B3D">
          <w:rPr>
            <w:noProof/>
            <w:webHidden/>
          </w:rPr>
          <w:instrText xml:space="preserve"> PAGEREF _Toc522098879 \h </w:instrText>
        </w:r>
        <w:r w:rsidR="008C0B3D">
          <w:rPr>
            <w:noProof/>
            <w:webHidden/>
          </w:rPr>
        </w:r>
        <w:r w:rsidR="008C0B3D">
          <w:rPr>
            <w:noProof/>
            <w:webHidden/>
          </w:rPr>
          <w:fldChar w:fldCharType="separate"/>
        </w:r>
        <w:r w:rsidR="008C0B3D">
          <w:rPr>
            <w:noProof/>
            <w:webHidden/>
          </w:rPr>
          <w:t>12</w:t>
        </w:r>
        <w:r w:rsidR="008C0B3D">
          <w:rPr>
            <w:noProof/>
            <w:webHidden/>
          </w:rPr>
          <w:fldChar w:fldCharType="end"/>
        </w:r>
      </w:hyperlink>
    </w:p>
    <w:p w14:paraId="23D73759" w14:textId="1327C9B5" w:rsidR="008C0B3D" w:rsidRDefault="00AD5B50">
      <w:pPr>
        <w:pStyle w:val="TOC4"/>
        <w:tabs>
          <w:tab w:val="right" w:leader="dot" w:pos="9016"/>
        </w:tabs>
        <w:rPr>
          <w:rFonts w:asciiTheme="minorHAnsi" w:eastAsiaTheme="minorEastAsia" w:hAnsiTheme="minorHAnsi" w:cstheme="minorBidi"/>
          <w:noProof/>
          <w:sz w:val="22"/>
        </w:rPr>
      </w:pPr>
      <w:hyperlink w:anchor="_Toc522098880" w:history="1">
        <w:r w:rsidR="008C0B3D" w:rsidRPr="00A94C6C">
          <w:rPr>
            <w:rStyle w:val="Hyperlink"/>
            <w:noProof/>
            <w:lang w:eastAsia="en-US"/>
          </w:rPr>
          <w:t>Additional Assurance</w:t>
        </w:r>
        <w:r w:rsidR="008C0B3D">
          <w:rPr>
            <w:noProof/>
            <w:webHidden/>
          </w:rPr>
          <w:tab/>
        </w:r>
        <w:r w:rsidR="008C0B3D">
          <w:rPr>
            <w:noProof/>
            <w:webHidden/>
          </w:rPr>
          <w:fldChar w:fldCharType="begin"/>
        </w:r>
        <w:r w:rsidR="008C0B3D">
          <w:rPr>
            <w:noProof/>
            <w:webHidden/>
          </w:rPr>
          <w:instrText xml:space="preserve"> PAGEREF _Toc522098880 \h </w:instrText>
        </w:r>
        <w:r w:rsidR="008C0B3D">
          <w:rPr>
            <w:noProof/>
            <w:webHidden/>
          </w:rPr>
        </w:r>
        <w:r w:rsidR="008C0B3D">
          <w:rPr>
            <w:noProof/>
            <w:webHidden/>
          </w:rPr>
          <w:fldChar w:fldCharType="separate"/>
        </w:r>
        <w:r w:rsidR="008C0B3D">
          <w:rPr>
            <w:noProof/>
            <w:webHidden/>
          </w:rPr>
          <w:t>12</w:t>
        </w:r>
        <w:r w:rsidR="008C0B3D">
          <w:rPr>
            <w:noProof/>
            <w:webHidden/>
          </w:rPr>
          <w:fldChar w:fldCharType="end"/>
        </w:r>
      </w:hyperlink>
    </w:p>
    <w:p w14:paraId="12731AFD" w14:textId="506CAD3C" w:rsidR="008C0B3D" w:rsidRDefault="00AD5B50">
      <w:pPr>
        <w:pStyle w:val="TOC1"/>
        <w:tabs>
          <w:tab w:val="right" w:leader="dot" w:pos="9016"/>
        </w:tabs>
        <w:rPr>
          <w:rFonts w:asciiTheme="minorHAnsi" w:eastAsiaTheme="minorEastAsia" w:hAnsiTheme="minorHAnsi" w:cstheme="minorBidi"/>
          <w:noProof/>
          <w:sz w:val="22"/>
        </w:rPr>
      </w:pPr>
      <w:hyperlink w:anchor="_Toc522098881" w:history="1">
        <w:r w:rsidR="008C0B3D" w:rsidRPr="00A94C6C">
          <w:rPr>
            <w:rStyle w:val="Hyperlink"/>
            <w:noProof/>
            <w:lang w:eastAsia="en-US"/>
          </w:rPr>
          <w:t>3</w:t>
        </w:r>
        <w:r w:rsidR="008C0B3D" w:rsidRPr="00A94C6C">
          <w:rPr>
            <w:rStyle w:val="Hyperlink"/>
            <w:noProof/>
            <w:vertAlign w:val="superscript"/>
            <w:lang w:eastAsia="en-US"/>
          </w:rPr>
          <w:t>rd</w:t>
        </w:r>
        <w:r w:rsidR="008C0B3D" w:rsidRPr="00A94C6C">
          <w:rPr>
            <w:rStyle w:val="Hyperlink"/>
            <w:noProof/>
            <w:lang w:eastAsia="en-US"/>
          </w:rPr>
          <w:t xml:space="preserve"> Line of Assurance - Interventions</w:t>
        </w:r>
        <w:r w:rsidR="008C0B3D">
          <w:rPr>
            <w:noProof/>
            <w:webHidden/>
          </w:rPr>
          <w:tab/>
        </w:r>
        <w:r w:rsidR="008C0B3D">
          <w:rPr>
            <w:noProof/>
            <w:webHidden/>
          </w:rPr>
          <w:fldChar w:fldCharType="begin"/>
        </w:r>
        <w:r w:rsidR="008C0B3D">
          <w:rPr>
            <w:noProof/>
            <w:webHidden/>
          </w:rPr>
          <w:instrText xml:space="preserve"> PAGEREF _Toc522098881 \h </w:instrText>
        </w:r>
        <w:r w:rsidR="008C0B3D">
          <w:rPr>
            <w:noProof/>
            <w:webHidden/>
          </w:rPr>
        </w:r>
        <w:r w:rsidR="008C0B3D">
          <w:rPr>
            <w:noProof/>
            <w:webHidden/>
          </w:rPr>
          <w:fldChar w:fldCharType="separate"/>
        </w:r>
        <w:r w:rsidR="008C0B3D">
          <w:rPr>
            <w:noProof/>
            <w:webHidden/>
          </w:rPr>
          <w:t>13</w:t>
        </w:r>
        <w:r w:rsidR="008C0B3D">
          <w:rPr>
            <w:noProof/>
            <w:webHidden/>
          </w:rPr>
          <w:fldChar w:fldCharType="end"/>
        </w:r>
      </w:hyperlink>
    </w:p>
    <w:p w14:paraId="64DF2497" w14:textId="2A34971A" w:rsidR="008C0B3D" w:rsidRDefault="00AD5B50">
      <w:pPr>
        <w:pStyle w:val="TOC1"/>
        <w:tabs>
          <w:tab w:val="right" w:leader="dot" w:pos="9016"/>
        </w:tabs>
        <w:rPr>
          <w:rFonts w:asciiTheme="minorHAnsi" w:eastAsiaTheme="minorEastAsia" w:hAnsiTheme="minorHAnsi" w:cstheme="minorBidi"/>
          <w:noProof/>
          <w:sz w:val="22"/>
        </w:rPr>
      </w:pPr>
      <w:hyperlink w:anchor="_Toc522098882" w:history="1">
        <w:r w:rsidR="008C0B3D" w:rsidRPr="00A94C6C">
          <w:rPr>
            <w:rStyle w:val="Hyperlink"/>
            <w:noProof/>
            <w:lang w:eastAsia="en-US"/>
          </w:rPr>
          <w:t>Assurance Reviewers</w:t>
        </w:r>
        <w:r w:rsidR="008C0B3D">
          <w:rPr>
            <w:noProof/>
            <w:webHidden/>
          </w:rPr>
          <w:tab/>
        </w:r>
        <w:r w:rsidR="008C0B3D">
          <w:rPr>
            <w:noProof/>
            <w:webHidden/>
          </w:rPr>
          <w:fldChar w:fldCharType="begin"/>
        </w:r>
        <w:r w:rsidR="008C0B3D">
          <w:rPr>
            <w:noProof/>
            <w:webHidden/>
          </w:rPr>
          <w:instrText xml:space="preserve"> PAGEREF _Toc522098882 \h </w:instrText>
        </w:r>
        <w:r w:rsidR="008C0B3D">
          <w:rPr>
            <w:noProof/>
            <w:webHidden/>
          </w:rPr>
        </w:r>
        <w:r w:rsidR="008C0B3D">
          <w:rPr>
            <w:noProof/>
            <w:webHidden/>
          </w:rPr>
          <w:fldChar w:fldCharType="separate"/>
        </w:r>
        <w:r w:rsidR="008C0B3D">
          <w:rPr>
            <w:noProof/>
            <w:webHidden/>
          </w:rPr>
          <w:t>14</w:t>
        </w:r>
        <w:r w:rsidR="008C0B3D">
          <w:rPr>
            <w:noProof/>
            <w:webHidden/>
          </w:rPr>
          <w:fldChar w:fldCharType="end"/>
        </w:r>
      </w:hyperlink>
    </w:p>
    <w:p w14:paraId="5F8B9609" w14:textId="2889CBEE" w:rsidR="008C0B3D" w:rsidRDefault="00AD5B50">
      <w:pPr>
        <w:pStyle w:val="TOC1"/>
        <w:tabs>
          <w:tab w:val="right" w:leader="dot" w:pos="9016"/>
        </w:tabs>
        <w:rPr>
          <w:rFonts w:asciiTheme="minorHAnsi" w:eastAsiaTheme="minorEastAsia" w:hAnsiTheme="minorHAnsi" w:cstheme="minorBidi"/>
          <w:noProof/>
          <w:sz w:val="22"/>
        </w:rPr>
      </w:pPr>
      <w:hyperlink w:anchor="_Toc522098883" w:history="1">
        <w:r w:rsidR="008C0B3D" w:rsidRPr="00A94C6C">
          <w:rPr>
            <w:rStyle w:val="Hyperlink"/>
            <w:noProof/>
          </w:rPr>
          <w:t>Annex A – Integrated Assurance in the Home Office</w:t>
        </w:r>
        <w:r w:rsidR="008C0B3D">
          <w:rPr>
            <w:noProof/>
            <w:webHidden/>
          </w:rPr>
          <w:tab/>
        </w:r>
        <w:r w:rsidR="008C0B3D">
          <w:rPr>
            <w:noProof/>
            <w:webHidden/>
          </w:rPr>
          <w:fldChar w:fldCharType="begin"/>
        </w:r>
        <w:r w:rsidR="008C0B3D">
          <w:rPr>
            <w:noProof/>
            <w:webHidden/>
          </w:rPr>
          <w:instrText xml:space="preserve"> PAGEREF _Toc522098883 \h </w:instrText>
        </w:r>
        <w:r w:rsidR="008C0B3D">
          <w:rPr>
            <w:noProof/>
            <w:webHidden/>
          </w:rPr>
        </w:r>
        <w:r w:rsidR="008C0B3D">
          <w:rPr>
            <w:noProof/>
            <w:webHidden/>
          </w:rPr>
          <w:fldChar w:fldCharType="separate"/>
        </w:r>
        <w:r w:rsidR="008C0B3D">
          <w:rPr>
            <w:noProof/>
            <w:webHidden/>
          </w:rPr>
          <w:t>15</w:t>
        </w:r>
        <w:r w:rsidR="008C0B3D">
          <w:rPr>
            <w:noProof/>
            <w:webHidden/>
          </w:rPr>
          <w:fldChar w:fldCharType="end"/>
        </w:r>
      </w:hyperlink>
    </w:p>
    <w:p w14:paraId="0907C7AA" w14:textId="7A516417" w:rsidR="008C0B3D" w:rsidRDefault="00AD5B50">
      <w:pPr>
        <w:pStyle w:val="TOC1"/>
        <w:tabs>
          <w:tab w:val="right" w:leader="dot" w:pos="9016"/>
        </w:tabs>
        <w:rPr>
          <w:rFonts w:asciiTheme="minorHAnsi" w:eastAsiaTheme="minorEastAsia" w:hAnsiTheme="minorHAnsi" w:cstheme="minorBidi"/>
          <w:noProof/>
          <w:sz w:val="22"/>
        </w:rPr>
      </w:pPr>
      <w:hyperlink w:anchor="_Toc522098884" w:history="1">
        <w:r w:rsidR="008C0B3D" w:rsidRPr="00A94C6C">
          <w:rPr>
            <w:rStyle w:val="Hyperlink"/>
            <w:noProof/>
            <w:lang w:val="en" w:eastAsia="en-US"/>
          </w:rPr>
          <w:t>Annex B – Sample IAAP</w:t>
        </w:r>
        <w:r w:rsidR="008C0B3D">
          <w:rPr>
            <w:noProof/>
            <w:webHidden/>
          </w:rPr>
          <w:tab/>
        </w:r>
        <w:r w:rsidR="008C0B3D">
          <w:rPr>
            <w:noProof/>
            <w:webHidden/>
          </w:rPr>
          <w:fldChar w:fldCharType="begin"/>
        </w:r>
        <w:r w:rsidR="008C0B3D">
          <w:rPr>
            <w:noProof/>
            <w:webHidden/>
          </w:rPr>
          <w:instrText xml:space="preserve"> PAGEREF _Toc522098884 \h </w:instrText>
        </w:r>
        <w:r w:rsidR="008C0B3D">
          <w:rPr>
            <w:noProof/>
            <w:webHidden/>
          </w:rPr>
        </w:r>
        <w:r w:rsidR="008C0B3D">
          <w:rPr>
            <w:noProof/>
            <w:webHidden/>
          </w:rPr>
          <w:fldChar w:fldCharType="separate"/>
        </w:r>
        <w:r w:rsidR="008C0B3D">
          <w:rPr>
            <w:noProof/>
            <w:webHidden/>
          </w:rPr>
          <w:t>16</w:t>
        </w:r>
        <w:r w:rsidR="008C0B3D">
          <w:rPr>
            <w:noProof/>
            <w:webHidden/>
          </w:rPr>
          <w:fldChar w:fldCharType="end"/>
        </w:r>
      </w:hyperlink>
    </w:p>
    <w:p w14:paraId="0A8389EC" w14:textId="6401BCC9" w:rsidR="008C0B3D" w:rsidRDefault="00AD5B50">
      <w:pPr>
        <w:pStyle w:val="TOC1"/>
        <w:tabs>
          <w:tab w:val="right" w:leader="dot" w:pos="9016"/>
        </w:tabs>
        <w:rPr>
          <w:rFonts w:asciiTheme="minorHAnsi" w:eastAsiaTheme="minorEastAsia" w:hAnsiTheme="minorHAnsi" w:cstheme="minorBidi"/>
          <w:noProof/>
          <w:sz w:val="22"/>
        </w:rPr>
      </w:pPr>
      <w:hyperlink w:anchor="_Toc522098885" w:history="1">
        <w:r w:rsidR="008C0B3D" w:rsidRPr="00A94C6C">
          <w:rPr>
            <w:rStyle w:val="Hyperlink"/>
            <w:noProof/>
            <w:lang w:val="en" w:eastAsia="en-US"/>
          </w:rPr>
          <w:t>Annex C – Roles and Responsibilities</w:t>
        </w:r>
        <w:r w:rsidR="008C0B3D">
          <w:rPr>
            <w:noProof/>
            <w:webHidden/>
          </w:rPr>
          <w:tab/>
        </w:r>
        <w:r w:rsidR="008C0B3D">
          <w:rPr>
            <w:noProof/>
            <w:webHidden/>
          </w:rPr>
          <w:fldChar w:fldCharType="begin"/>
        </w:r>
        <w:r w:rsidR="008C0B3D">
          <w:rPr>
            <w:noProof/>
            <w:webHidden/>
          </w:rPr>
          <w:instrText xml:space="preserve"> PAGEREF _Toc522098885 \h </w:instrText>
        </w:r>
        <w:r w:rsidR="008C0B3D">
          <w:rPr>
            <w:noProof/>
            <w:webHidden/>
          </w:rPr>
        </w:r>
        <w:r w:rsidR="008C0B3D">
          <w:rPr>
            <w:noProof/>
            <w:webHidden/>
          </w:rPr>
          <w:fldChar w:fldCharType="separate"/>
        </w:r>
        <w:r w:rsidR="008C0B3D">
          <w:rPr>
            <w:noProof/>
            <w:webHidden/>
          </w:rPr>
          <w:t>17</w:t>
        </w:r>
        <w:r w:rsidR="008C0B3D">
          <w:rPr>
            <w:noProof/>
            <w:webHidden/>
          </w:rPr>
          <w:fldChar w:fldCharType="end"/>
        </w:r>
      </w:hyperlink>
    </w:p>
    <w:p w14:paraId="089921F2" w14:textId="08D34390" w:rsidR="00496008" w:rsidRDefault="00DC4A12">
      <w:r>
        <w:fldChar w:fldCharType="end"/>
      </w:r>
    </w:p>
    <w:p w14:paraId="2C5E3B0E" w14:textId="1F772EBD" w:rsidR="00D37F7F" w:rsidRDefault="009E6CE1" w:rsidP="00C119DB">
      <w:pPr>
        <w:pStyle w:val="Heading1"/>
      </w:pPr>
      <w:bookmarkStart w:id="0" w:name="tm_385744902"/>
      <w:bookmarkStart w:id="1" w:name="_Toc522098870"/>
      <w:bookmarkEnd w:id="0"/>
      <w:r>
        <w:lastRenderedPageBreak/>
        <w:t>Introduction</w:t>
      </w:r>
      <w:bookmarkEnd w:id="1"/>
    </w:p>
    <w:p w14:paraId="360C4F0B" w14:textId="64217C9F" w:rsidR="00D01103" w:rsidRDefault="00D01103" w:rsidP="00D01103">
      <w:r w:rsidRPr="00D01103">
        <w:t>The</w:t>
      </w:r>
      <w:r w:rsidR="00351A94">
        <w:t xml:space="preserve"> Home Office</w:t>
      </w:r>
      <w:r w:rsidRPr="00D01103">
        <w:t xml:space="preserve"> Integrated Assurance Strategy</w:t>
      </w:r>
      <w:r w:rsidR="00EC1726">
        <w:t xml:space="preserve"> for programmes</w:t>
      </w:r>
      <w:r w:rsidRPr="00D01103">
        <w:t xml:space="preserve"> </w:t>
      </w:r>
      <w:r w:rsidR="009D11D8">
        <w:t xml:space="preserve">and projects </w:t>
      </w:r>
      <w:r w:rsidRPr="00D01103">
        <w:t>provides a strategic overview of the assurance regime required for all major</w:t>
      </w:r>
      <w:r w:rsidR="00351A94">
        <w:t>, mission critical and transformation</w:t>
      </w:r>
      <w:r w:rsidRPr="00D01103">
        <w:t xml:space="preserve"> </w:t>
      </w:r>
      <w:r w:rsidR="00351A94">
        <w:t>programmes</w:t>
      </w:r>
      <w:r w:rsidRPr="00D01103">
        <w:t xml:space="preserve"> </w:t>
      </w:r>
      <w:r w:rsidR="009D11D8">
        <w:t xml:space="preserve">and projects </w:t>
      </w:r>
      <w:r w:rsidRPr="00D01103">
        <w:t xml:space="preserve">within </w:t>
      </w:r>
      <w:r w:rsidR="00351A94">
        <w:t>the Home Office</w:t>
      </w:r>
      <w:r w:rsidRPr="00D01103">
        <w:t xml:space="preserve"> </w:t>
      </w:r>
      <w:r w:rsidR="009D11D8">
        <w:t>change p</w:t>
      </w:r>
      <w:r w:rsidRPr="00D01103">
        <w:t>ortfolio.</w:t>
      </w:r>
      <w:r w:rsidR="00EC1726">
        <w:t xml:space="preserve">  </w:t>
      </w:r>
      <w:r w:rsidR="007D48D9">
        <w:t xml:space="preserve">Programme and project assurance </w:t>
      </w:r>
      <w:r w:rsidR="00EC1726">
        <w:t>is a sub</w:t>
      </w:r>
      <w:r w:rsidR="009D11D8">
        <w:t>-</w:t>
      </w:r>
      <w:r w:rsidR="00EC1726">
        <w:t xml:space="preserve">set of the </w:t>
      </w:r>
      <w:r w:rsidR="009D11D8">
        <w:t>department’s</w:t>
      </w:r>
      <w:r w:rsidR="00EC1726">
        <w:t xml:space="preserve"> overall assurance regime</w:t>
      </w:r>
      <w:r w:rsidR="007D48D9">
        <w:t xml:space="preserve">.  </w:t>
      </w:r>
      <w:r w:rsidR="009D11D8">
        <w:t xml:space="preserve">The aim is to ensure that </w:t>
      </w:r>
      <w:r w:rsidR="007D48D9">
        <w:t>programme and</w:t>
      </w:r>
      <w:r w:rsidRPr="00D01103">
        <w:t xml:space="preserve"> project teams apply a consistent quality standard and approach</w:t>
      </w:r>
      <w:r w:rsidR="009D11D8">
        <w:t xml:space="preserve"> to assurance and that this </w:t>
      </w:r>
      <w:r w:rsidRPr="00D01103">
        <w:t xml:space="preserve">meets organisational, </w:t>
      </w:r>
      <w:r w:rsidR="007D48D9">
        <w:t>Infrastructure and Projects Authority (IPA)</w:t>
      </w:r>
      <w:r w:rsidRPr="00D01103">
        <w:t xml:space="preserve"> and HM Treasury </w:t>
      </w:r>
      <w:r w:rsidR="00F42446">
        <w:t xml:space="preserve">(HMT) </w:t>
      </w:r>
      <w:r w:rsidRPr="00D01103">
        <w:t>requirements for assurance planning and implementation</w:t>
      </w:r>
      <w:r w:rsidR="00351A94">
        <w:t>.</w:t>
      </w:r>
      <w:r w:rsidR="007D48D9" w:rsidRPr="007D48D9">
        <w:t xml:space="preserve"> </w:t>
      </w:r>
      <w:r w:rsidR="007D48D9">
        <w:t xml:space="preserve">This Strategy aligns to the guidance provided by the </w:t>
      </w:r>
      <w:r w:rsidR="007D48D9" w:rsidRPr="00D01103">
        <w:t>IPA</w:t>
      </w:r>
      <w:r w:rsidR="007D48D9">
        <w:t>.</w:t>
      </w:r>
    </w:p>
    <w:p w14:paraId="1141335D" w14:textId="268D5819" w:rsidR="00D37F7F" w:rsidRDefault="009E6CE1" w:rsidP="00B25D56">
      <w:pPr>
        <w:pStyle w:val="Heading3"/>
        <w:rPr>
          <w:lang w:val="en" w:eastAsia="en-US"/>
        </w:rPr>
      </w:pPr>
      <w:bookmarkStart w:id="2" w:name="_Toc522098871"/>
      <w:r>
        <w:rPr>
          <w:lang w:val="en" w:eastAsia="en-US"/>
        </w:rPr>
        <w:t>Purpose and scope</w:t>
      </w:r>
      <w:bookmarkEnd w:id="2"/>
      <w:r>
        <w:rPr>
          <w:lang w:val="en" w:eastAsia="en-US"/>
        </w:rPr>
        <w:t xml:space="preserve"> </w:t>
      </w:r>
    </w:p>
    <w:p w14:paraId="0D5C2C83" w14:textId="10927C87" w:rsidR="00351A94" w:rsidRDefault="00001B7A" w:rsidP="00351A94">
      <w:pPr>
        <w:rPr>
          <w:lang w:val="en" w:eastAsia="en-US"/>
        </w:rPr>
      </w:pPr>
      <w:r>
        <w:rPr>
          <w:lang w:val="en" w:eastAsia="en-US"/>
        </w:rPr>
        <w:t>This s</w:t>
      </w:r>
      <w:r w:rsidR="00351A94">
        <w:rPr>
          <w:lang w:val="en" w:eastAsia="en-US"/>
        </w:rPr>
        <w:t xml:space="preserve">trategy sets out the assurance and approval arrangements for all programmes and projects within the Home Office </w:t>
      </w:r>
      <w:r w:rsidR="009D11D8">
        <w:rPr>
          <w:lang w:val="en" w:eastAsia="en-US"/>
        </w:rPr>
        <w:t>change p</w:t>
      </w:r>
      <w:r w:rsidR="00351A94">
        <w:rPr>
          <w:lang w:val="en" w:eastAsia="en-US"/>
        </w:rPr>
        <w:t xml:space="preserve">ortfolio. </w:t>
      </w:r>
    </w:p>
    <w:p w14:paraId="24245A22" w14:textId="4694ECA7" w:rsidR="00A258BF" w:rsidRPr="00B25D56" w:rsidRDefault="00B25D56" w:rsidP="00B25D56">
      <w:pPr>
        <w:rPr>
          <w:lang w:eastAsia="en-US"/>
        </w:rPr>
      </w:pPr>
      <w:r w:rsidRPr="00B25D56">
        <w:rPr>
          <w:lang w:eastAsia="en-US"/>
        </w:rPr>
        <w:t>The Home Office’s portfolio assurance model is aligned to best practice in portfolio assurance, as defined by the new government functional standard for project delivery and the principles set out in Management of Portfolios</w:t>
      </w:r>
      <w:r w:rsidR="00001B7A">
        <w:rPr>
          <w:rFonts w:cs="Arial"/>
          <w:lang w:eastAsia="en-US"/>
        </w:rPr>
        <w:t>™</w:t>
      </w:r>
      <w:r w:rsidRPr="00B25D56">
        <w:rPr>
          <w:lang w:eastAsia="en-US"/>
        </w:rPr>
        <w:t xml:space="preserve">. </w:t>
      </w:r>
    </w:p>
    <w:p w14:paraId="21A29B34" w14:textId="1021F561" w:rsidR="00A258BF" w:rsidRPr="00B25D56" w:rsidRDefault="00537A5B" w:rsidP="00B25D56">
      <w:pPr>
        <w:rPr>
          <w:lang w:eastAsia="en-US"/>
        </w:rPr>
      </w:pPr>
      <w:r w:rsidRPr="00B25D56">
        <w:rPr>
          <w:lang w:eastAsia="en-US"/>
        </w:rPr>
        <w:t xml:space="preserve">It also aligns with the ‘three lines of defence’ model </w:t>
      </w:r>
      <w:r>
        <w:rPr>
          <w:lang w:eastAsia="en-US"/>
        </w:rPr>
        <w:t xml:space="preserve">(see the diagram on </w:t>
      </w:r>
      <w:r w:rsidRPr="008B5984">
        <w:rPr>
          <w:lang w:eastAsia="en-US"/>
        </w:rPr>
        <w:t>page 4</w:t>
      </w:r>
      <w:r>
        <w:rPr>
          <w:lang w:eastAsia="en-US"/>
        </w:rPr>
        <w:t xml:space="preserve">) </w:t>
      </w:r>
      <w:r w:rsidRPr="00B25D56">
        <w:rPr>
          <w:lang w:eastAsia="en-US"/>
        </w:rPr>
        <w:t>on which wider Home Office governance and assurance arrangements</w:t>
      </w:r>
      <w:r>
        <w:rPr>
          <w:lang w:eastAsia="en-US"/>
        </w:rPr>
        <w:t>, and the new forward look-based Cabinet Office controls regime</w:t>
      </w:r>
      <w:r w:rsidR="00B25D56" w:rsidRPr="00B25D56">
        <w:rPr>
          <w:lang w:eastAsia="en-US"/>
        </w:rPr>
        <w:t>.</w:t>
      </w:r>
    </w:p>
    <w:p w14:paraId="7628CCFD" w14:textId="140F8AEF" w:rsidR="00496008" w:rsidRPr="00496008" w:rsidRDefault="00F42446" w:rsidP="00496008">
      <w:pPr>
        <w:rPr>
          <w:lang w:eastAsia="en-US"/>
        </w:rPr>
      </w:pPr>
      <w:r>
        <w:rPr>
          <w:noProof/>
        </w:rPr>
        <w:drawing>
          <wp:anchor distT="0" distB="0" distL="114300" distR="114300" simplePos="0" relativeHeight="251660288" behindDoc="0" locked="0" layoutInCell="1" allowOverlap="1" wp14:anchorId="0962C75A" wp14:editId="6B3BB9CC">
            <wp:simplePos x="0" y="0"/>
            <wp:positionH relativeFrom="column">
              <wp:posOffset>2732314</wp:posOffset>
            </wp:positionH>
            <wp:positionV relativeFrom="paragraph">
              <wp:posOffset>543197</wp:posOffset>
            </wp:positionV>
            <wp:extent cx="3352800" cy="2195195"/>
            <wp:effectExtent l="19050" t="19050" r="19050" b="14605"/>
            <wp:wrapSquare wrapText="bothSides"/>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l="1492" t="14682" r="2489" b="4901"/>
                    <a:stretch>
                      <a:fillRect/>
                    </a:stretch>
                  </pic:blipFill>
                  <pic:spPr bwMode="auto">
                    <a:xfrm>
                      <a:off x="0" y="0"/>
                      <a:ext cx="3352800" cy="219519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496008" w:rsidRPr="00496008">
        <w:rPr>
          <w:lang w:eastAsia="en-US"/>
        </w:rPr>
        <w:t xml:space="preserve">The Home Office </w:t>
      </w:r>
      <w:r w:rsidR="008B5984">
        <w:rPr>
          <w:lang w:eastAsia="en-US"/>
        </w:rPr>
        <w:t>change</w:t>
      </w:r>
      <w:r w:rsidR="00496008" w:rsidRPr="00496008">
        <w:rPr>
          <w:lang w:eastAsia="en-US"/>
        </w:rPr>
        <w:t xml:space="preserve"> portfolio has been structured so that governance and accountability arrangements are proportionate to the scale and criticality of the programme</w:t>
      </w:r>
      <w:r w:rsidR="008B5984">
        <w:rPr>
          <w:lang w:eastAsia="en-US"/>
        </w:rPr>
        <w:t xml:space="preserve"> or project</w:t>
      </w:r>
      <w:r w:rsidR="00001B7A">
        <w:rPr>
          <w:lang w:eastAsia="en-US"/>
        </w:rPr>
        <w:t>.</w:t>
      </w:r>
    </w:p>
    <w:p w14:paraId="164D0178" w14:textId="508279EA" w:rsidR="00496008" w:rsidRPr="00496008" w:rsidRDefault="00496008" w:rsidP="00496008">
      <w:pPr>
        <w:numPr>
          <w:ilvl w:val="0"/>
          <w:numId w:val="8"/>
        </w:numPr>
        <w:rPr>
          <w:lang w:eastAsia="en-US"/>
        </w:rPr>
      </w:pPr>
      <w:r w:rsidRPr="00496008">
        <w:rPr>
          <w:b/>
          <w:bCs/>
          <w:lang w:eastAsia="en-US"/>
        </w:rPr>
        <w:t xml:space="preserve">Major programmes </w:t>
      </w:r>
      <w:r w:rsidRPr="00496008">
        <w:rPr>
          <w:lang w:eastAsia="en-US"/>
        </w:rPr>
        <w:t>fall within the Government Major Projects Portfolio (GMPP) and are subject to oversight by the IPA and HM Treasury.</w:t>
      </w:r>
    </w:p>
    <w:p w14:paraId="233E204D" w14:textId="784B287D" w:rsidR="00496008" w:rsidRDefault="00496008" w:rsidP="00496008">
      <w:pPr>
        <w:numPr>
          <w:ilvl w:val="0"/>
          <w:numId w:val="8"/>
        </w:numPr>
        <w:rPr>
          <w:lang w:eastAsia="en-US"/>
        </w:rPr>
      </w:pPr>
      <w:r w:rsidRPr="00496008">
        <w:rPr>
          <w:b/>
          <w:bCs/>
          <w:lang w:eastAsia="en-US"/>
        </w:rPr>
        <w:t xml:space="preserve">Mission critical programmes </w:t>
      </w:r>
      <w:r w:rsidRPr="00496008">
        <w:rPr>
          <w:lang w:eastAsia="en-US"/>
        </w:rPr>
        <w:t>are those programmes which fall outside the GMPP but are delivering strategic capabilities which are considered mission critical to delivery of Home Office strategic priorities and</w:t>
      </w:r>
      <w:r w:rsidR="00001B7A">
        <w:rPr>
          <w:lang w:eastAsia="en-US"/>
        </w:rPr>
        <w:t xml:space="preserve"> </w:t>
      </w:r>
      <w:r w:rsidRPr="00496008">
        <w:rPr>
          <w:lang w:eastAsia="en-US"/>
        </w:rPr>
        <w:t>/</w:t>
      </w:r>
      <w:r w:rsidR="00001B7A">
        <w:rPr>
          <w:lang w:eastAsia="en-US"/>
        </w:rPr>
        <w:t xml:space="preserve"> </w:t>
      </w:r>
      <w:r w:rsidRPr="00496008">
        <w:rPr>
          <w:lang w:eastAsia="en-US"/>
        </w:rPr>
        <w:t xml:space="preserve">or wider transformation. </w:t>
      </w:r>
    </w:p>
    <w:p w14:paraId="7A26FF7C" w14:textId="493E4D0B" w:rsidR="00496008" w:rsidRPr="00F42446" w:rsidRDefault="00496008" w:rsidP="00F42446">
      <w:pPr>
        <w:pStyle w:val="ListParagraph"/>
        <w:numPr>
          <w:ilvl w:val="0"/>
          <w:numId w:val="8"/>
        </w:numPr>
        <w:rPr>
          <w:lang w:val="en" w:eastAsia="en-US"/>
        </w:rPr>
      </w:pPr>
      <w:r w:rsidRPr="00F42446">
        <w:rPr>
          <w:b/>
          <w:bCs/>
          <w:lang w:eastAsia="en-US"/>
        </w:rPr>
        <w:t>All other projects and programmes fall within</w:t>
      </w:r>
      <w:r w:rsidR="00F42446" w:rsidRPr="00F42446">
        <w:rPr>
          <w:b/>
          <w:bCs/>
          <w:lang w:eastAsia="en-US"/>
        </w:rPr>
        <w:t xml:space="preserve"> business</w:t>
      </w:r>
      <w:r w:rsidRPr="00F42446">
        <w:rPr>
          <w:b/>
          <w:bCs/>
          <w:lang w:eastAsia="en-US"/>
        </w:rPr>
        <w:t xml:space="preserve"> transformation portfolios</w:t>
      </w:r>
      <w:r w:rsidRPr="00496008">
        <w:rPr>
          <w:lang w:eastAsia="en-US"/>
        </w:rPr>
        <w:t xml:space="preserve">. Funding for these portfolios is delegated and managed at business/system level, with </w:t>
      </w:r>
      <w:r w:rsidR="007D48D9">
        <w:rPr>
          <w:lang w:eastAsia="en-US"/>
        </w:rPr>
        <w:t>Senior Responsible Owners (</w:t>
      </w:r>
      <w:r w:rsidRPr="00496008">
        <w:rPr>
          <w:lang w:eastAsia="en-US"/>
        </w:rPr>
        <w:t>SROs</w:t>
      </w:r>
      <w:r w:rsidR="007D48D9">
        <w:rPr>
          <w:lang w:eastAsia="en-US"/>
        </w:rPr>
        <w:t>)</w:t>
      </w:r>
      <w:r w:rsidRPr="00496008">
        <w:rPr>
          <w:lang w:eastAsia="en-US"/>
        </w:rPr>
        <w:t xml:space="preserve"> appointed by the business </w:t>
      </w:r>
      <w:r w:rsidR="008B5984">
        <w:rPr>
          <w:lang w:eastAsia="en-US"/>
        </w:rPr>
        <w:t xml:space="preserve">area </w:t>
      </w:r>
      <w:r w:rsidR="00001B7A">
        <w:rPr>
          <w:lang w:eastAsia="en-US"/>
        </w:rPr>
        <w:t>Director General (</w:t>
      </w:r>
      <w:r w:rsidRPr="00496008">
        <w:rPr>
          <w:lang w:eastAsia="en-US"/>
        </w:rPr>
        <w:t>DG</w:t>
      </w:r>
      <w:r w:rsidR="00001B7A">
        <w:rPr>
          <w:lang w:eastAsia="en-US"/>
        </w:rPr>
        <w:t>)</w:t>
      </w:r>
      <w:r w:rsidRPr="00496008">
        <w:rPr>
          <w:lang w:eastAsia="en-US"/>
        </w:rPr>
        <w:t xml:space="preserve">.  All projects over the £5m whole life cost </w:t>
      </w:r>
      <w:r w:rsidR="007D48D9" w:rsidRPr="00496008">
        <w:rPr>
          <w:lang w:eastAsia="en-US"/>
        </w:rPr>
        <w:t xml:space="preserve">threshold </w:t>
      </w:r>
      <w:r w:rsidRPr="00496008">
        <w:rPr>
          <w:lang w:eastAsia="en-US"/>
        </w:rPr>
        <w:t>continue to need P</w:t>
      </w:r>
      <w:r w:rsidR="0064345C">
        <w:rPr>
          <w:lang w:eastAsia="en-US"/>
        </w:rPr>
        <w:t>ortfolio</w:t>
      </w:r>
      <w:r w:rsidR="008B5984">
        <w:rPr>
          <w:lang w:eastAsia="en-US"/>
        </w:rPr>
        <w:t>,</w:t>
      </w:r>
      <w:r w:rsidR="0064345C">
        <w:rPr>
          <w:lang w:eastAsia="en-US"/>
        </w:rPr>
        <w:t xml:space="preserve"> Investment &amp; Change Committee (PIC) </w:t>
      </w:r>
      <w:r w:rsidRPr="00496008">
        <w:rPr>
          <w:lang w:eastAsia="en-US"/>
        </w:rPr>
        <w:t>investment approval</w:t>
      </w:r>
      <w:r>
        <w:rPr>
          <w:lang w:eastAsia="en-US"/>
        </w:rPr>
        <w:t>.</w:t>
      </w:r>
    </w:p>
    <w:p w14:paraId="45241EB3" w14:textId="77777777" w:rsidR="00D37F7F" w:rsidRDefault="009E6CE1" w:rsidP="00001B7A">
      <w:pPr>
        <w:pStyle w:val="Heading1"/>
        <w:rPr>
          <w:lang w:val="en" w:eastAsia="en-US"/>
        </w:rPr>
      </w:pPr>
      <w:bookmarkStart w:id="3" w:name="_Toc522098872"/>
      <w:r>
        <w:rPr>
          <w:lang w:val="en" w:eastAsia="en-US"/>
        </w:rPr>
        <w:lastRenderedPageBreak/>
        <w:t>Application of assurance</w:t>
      </w:r>
      <w:bookmarkEnd w:id="3"/>
      <w:r>
        <w:rPr>
          <w:lang w:val="en" w:eastAsia="en-US"/>
        </w:rPr>
        <w:t xml:space="preserve"> </w:t>
      </w:r>
    </w:p>
    <w:p w14:paraId="15BA8D2D" w14:textId="14C28601" w:rsidR="00447D36" w:rsidRPr="00447D36" w:rsidRDefault="008B5984" w:rsidP="00447D36">
      <w:pPr>
        <w:rPr>
          <w:lang w:eastAsia="en-US"/>
        </w:rPr>
      </w:pPr>
      <w:r>
        <w:rPr>
          <w:lang w:eastAsia="en-US"/>
        </w:rPr>
        <w:t>Programme and p</w:t>
      </w:r>
      <w:r w:rsidR="00447D36" w:rsidRPr="00447D36">
        <w:rPr>
          <w:lang w:eastAsia="en-US"/>
        </w:rPr>
        <w:t>roject assurance is a sub</w:t>
      </w:r>
      <w:r>
        <w:rPr>
          <w:lang w:eastAsia="en-US"/>
        </w:rPr>
        <w:t>-</w:t>
      </w:r>
      <w:r w:rsidR="00447D36" w:rsidRPr="00447D36">
        <w:rPr>
          <w:lang w:eastAsia="en-US"/>
        </w:rPr>
        <w:t>set of the Home Office assurance and governance regime which aims to be ‘best in class’.  It</w:t>
      </w:r>
      <w:r w:rsidR="00537A5B">
        <w:rPr>
          <w:lang w:eastAsia="en-US"/>
        </w:rPr>
        <w:t xml:space="preserve"> is important for </w:t>
      </w:r>
      <w:r w:rsidR="00447D36" w:rsidRPr="00447D36">
        <w:rPr>
          <w:lang w:eastAsia="en-US"/>
        </w:rPr>
        <w:t xml:space="preserve">programme </w:t>
      </w:r>
      <w:r>
        <w:rPr>
          <w:lang w:eastAsia="en-US"/>
        </w:rPr>
        <w:t xml:space="preserve">and project </w:t>
      </w:r>
      <w:r w:rsidR="00447D36" w:rsidRPr="00447D36">
        <w:rPr>
          <w:lang w:eastAsia="en-US"/>
        </w:rPr>
        <w:t xml:space="preserve">teams, stakeholders and </w:t>
      </w:r>
      <w:r w:rsidR="0064345C">
        <w:rPr>
          <w:lang w:eastAsia="en-US"/>
        </w:rPr>
        <w:t>PIC</w:t>
      </w:r>
      <w:r w:rsidR="00447D36" w:rsidRPr="00447D36">
        <w:rPr>
          <w:lang w:eastAsia="en-US"/>
        </w:rPr>
        <w:t>, who need assurance that investment proposals are soundly based and are on track for delivery and realisation of benefits.</w:t>
      </w:r>
    </w:p>
    <w:p w14:paraId="30C6AA26" w14:textId="77777777" w:rsidR="00447D36" w:rsidRDefault="008B5984" w:rsidP="00447D36">
      <w:pPr>
        <w:rPr>
          <w:lang w:eastAsia="en-US"/>
        </w:rPr>
      </w:pPr>
      <w:r>
        <w:rPr>
          <w:lang w:eastAsia="en-US"/>
        </w:rPr>
        <w:t>Programmes and p</w:t>
      </w:r>
      <w:r w:rsidR="00447D36" w:rsidRPr="00447D36">
        <w:rPr>
          <w:lang w:eastAsia="en-US"/>
        </w:rPr>
        <w:t>rojects f</w:t>
      </w:r>
      <w:r w:rsidR="007D48D9">
        <w:rPr>
          <w:lang w:eastAsia="en-US"/>
        </w:rPr>
        <w:t xml:space="preserve">orming part of the Home Office </w:t>
      </w:r>
      <w:r>
        <w:rPr>
          <w:lang w:eastAsia="en-US"/>
        </w:rPr>
        <w:t>change p</w:t>
      </w:r>
      <w:r w:rsidR="00447D36" w:rsidRPr="00447D36">
        <w:rPr>
          <w:lang w:eastAsia="en-US"/>
        </w:rPr>
        <w:t>ortfolio are subject to r</w:t>
      </w:r>
      <w:r w:rsidR="0064345C">
        <w:rPr>
          <w:lang w:eastAsia="en-US"/>
        </w:rPr>
        <w:t>egular assurance overseen by</w:t>
      </w:r>
      <w:r w:rsidR="00447D36" w:rsidRPr="00447D36">
        <w:rPr>
          <w:lang w:eastAsia="en-US"/>
        </w:rPr>
        <w:t xml:space="preserve"> </w:t>
      </w:r>
      <w:r>
        <w:rPr>
          <w:lang w:eastAsia="en-US"/>
        </w:rPr>
        <w:t xml:space="preserve">the </w:t>
      </w:r>
      <w:r w:rsidR="00447D36" w:rsidRPr="00447D36">
        <w:rPr>
          <w:lang w:eastAsia="en-US"/>
        </w:rPr>
        <w:t>P</w:t>
      </w:r>
      <w:r>
        <w:rPr>
          <w:lang w:eastAsia="en-US"/>
        </w:rPr>
        <w:t xml:space="preserve">ortfolio and Project Delivery </w:t>
      </w:r>
      <w:r w:rsidR="00447D36" w:rsidRPr="00447D36">
        <w:rPr>
          <w:lang w:eastAsia="en-US"/>
        </w:rPr>
        <w:t>D</w:t>
      </w:r>
      <w:r>
        <w:rPr>
          <w:lang w:eastAsia="en-US"/>
        </w:rPr>
        <w:t>irectorate (PPD)</w:t>
      </w:r>
      <w:r w:rsidR="00447D36" w:rsidRPr="00447D36">
        <w:rPr>
          <w:lang w:eastAsia="en-US"/>
        </w:rPr>
        <w:t xml:space="preserve"> </w:t>
      </w:r>
      <w:r>
        <w:rPr>
          <w:lang w:eastAsia="en-US"/>
        </w:rPr>
        <w:t xml:space="preserve">and </w:t>
      </w:r>
      <w:r w:rsidR="00447D36" w:rsidRPr="00447D36">
        <w:rPr>
          <w:lang w:eastAsia="en-US"/>
        </w:rPr>
        <w:t>based predominantly on the proven IPA assurance products.</w:t>
      </w:r>
    </w:p>
    <w:p w14:paraId="507A537D" w14:textId="3F7F4151" w:rsidR="00447D36" w:rsidRDefault="00220FA9" w:rsidP="00447D36">
      <w:pPr>
        <w:rPr>
          <w:lang w:eastAsia="en-US"/>
        </w:rPr>
      </w:pPr>
      <w:r>
        <w:rPr>
          <w:noProof/>
          <w:lang w:eastAsia="en-US"/>
        </w:rPr>
        <w:drawing>
          <wp:anchor distT="0" distB="0" distL="114300" distR="114300" simplePos="0" relativeHeight="251662336" behindDoc="0" locked="0" layoutInCell="1" allowOverlap="1" wp14:anchorId="1E019833" wp14:editId="3BFF420D">
            <wp:simplePos x="0" y="0"/>
            <wp:positionH relativeFrom="margin">
              <wp:posOffset>2765083</wp:posOffset>
            </wp:positionH>
            <wp:positionV relativeFrom="paragraph">
              <wp:posOffset>750032</wp:posOffset>
            </wp:positionV>
            <wp:extent cx="2940050" cy="3611880"/>
            <wp:effectExtent l="19050" t="19050" r="12700" b="266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6">
                      <a:extLst>
                        <a:ext uri="{28A0092B-C50C-407E-A947-70E740481C1C}">
                          <a14:useLocalDpi xmlns:a14="http://schemas.microsoft.com/office/drawing/2010/main" val="0"/>
                        </a:ext>
                      </a:extLst>
                    </a:blip>
                    <a:srcRect b="2348"/>
                    <a:stretch/>
                  </pic:blipFill>
                  <pic:spPr bwMode="auto">
                    <a:xfrm>
                      <a:off x="0" y="0"/>
                      <a:ext cx="2940050" cy="3611880"/>
                    </a:xfrm>
                    <a:prstGeom prst="rect">
                      <a:avLst/>
                    </a:prstGeom>
                    <a:noFill/>
                    <a:ln w="63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083C">
        <w:rPr>
          <w:lang w:eastAsia="en-US"/>
        </w:rPr>
        <w:t>Home Office</w:t>
      </w:r>
      <w:r w:rsidR="00447D36" w:rsidRPr="00447D36">
        <w:rPr>
          <w:lang w:eastAsia="en-US"/>
        </w:rPr>
        <w:t xml:space="preserve"> </w:t>
      </w:r>
      <w:r w:rsidR="008B5984">
        <w:rPr>
          <w:lang w:eastAsia="en-US"/>
        </w:rPr>
        <w:t xml:space="preserve">programmes and </w:t>
      </w:r>
      <w:r w:rsidR="00447D36" w:rsidRPr="00447D36">
        <w:rPr>
          <w:lang w:eastAsia="en-US"/>
        </w:rPr>
        <w:t>projects are subject to the ‘three lines of assurance’ model as set out in the new IPA Functional Standards for Pr</w:t>
      </w:r>
      <w:r w:rsidR="00447D36">
        <w:rPr>
          <w:lang w:eastAsia="en-US"/>
        </w:rPr>
        <w:t xml:space="preserve">oject Delivery </w:t>
      </w:r>
      <w:r w:rsidR="00447D36" w:rsidRPr="00447D36">
        <w:rPr>
          <w:lang w:eastAsia="en-US"/>
        </w:rPr>
        <w:t>(see diagram</w:t>
      </w:r>
      <w:r w:rsidR="008B5984">
        <w:rPr>
          <w:lang w:eastAsia="en-US"/>
        </w:rPr>
        <w:t xml:space="preserve"> below</w:t>
      </w:r>
      <w:r w:rsidR="00447D36" w:rsidRPr="00447D36">
        <w:rPr>
          <w:lang w:eastAsia="en-US"/>
        </w:rPr>
        <w:t>) with SROs accountable for ensuring that appropriate assurance arrangements are in place.</w:t>
      </w:r>
      <w:r w:rsidR="00662A2B">
        <w:rPr>
          <w:lang w:eastAsia="en-US"/>
        </w:rPr>
        <w:t xml:space="preserve">  </w:t>
      </w:r>
      <w:hyperlink w:anchor="_Annex_A_–" w:history="1">
        <w:r w:rsidR="00662A2B" w:rsidRPr="00F77586">
          <w:rPr>
            <w:rStyle w:val="Hyperlink"/>
            <w:lang w:eastAsia="en-US"/>
          </w:rPr>
          <w:t>Annex A</w:t>
        </w:r>
      </w:hyperlink>
      <w:r w:rsidR="00662A2B">
        <w:rPr>
          <w:lang w:eastAsia="en-US"/>
        </w:rPr>
        <w:t xml:space="preserve"> provides more detail o</w:t>
      </w:r>
      <w:r w:rsidR="008B5984">
        <w:rPr>
          <w:lang w:eastAsia="en-US"/>
        </w:rPr>
        <w:t>n</w:t>
      </w:r>
      <w:r w:rsidR="00662A2B">
        <w:rPr>
          <w:lang w:eastAsia="en-US"/>
        </w:rPr>
        <w:t xml:space="preserve"> the assurance activities at each level. </w:t>
      </w:r>
    </w:p>
    <w:p w14:paraId="7FE1BA86" w14:textId="77777777" w:rsidR="00447D36" w:rsidRPr="00447D36" w:rsidRDefault="00447D36" w:rsidP="0075418D">
      <w:pPr>
        <w:pStyle w:val="ListParagraph"/>
        <w:numPr>
          <w:ilvl w:val="0"/>
          <w:numId w:val="5"/>
        </w:numPr>
        <w:rPr>
          <w:lang w:eastAsia="en-US"/>
        </w:rPr>
      </w:pPr>
      <w:r w:rsidRPr="00447D36">
        <w:rPr>
          <w:lang w:eastAsia="en-US"/>
        </w:rPr>
        <w:t>1</w:t>
      </w:r>
      <w:r w:rsidRPr="0075418D">
        <w:rPr>
          <w:vertAlign w:val="superscript"/>
          <w:lang w:eastAsia="en-US"/>
        </w:rPr>
        <w:t>st</w:t>
      </w:r>
      <w:r w:rsidRPr="00447D36">
        <w:rPr>
          <w:lang w:eastAsia="en-US"/>
        </w:rPr>
        <w:t xml:space="preserve"> line of assurance comprise</w:t>
      </w:r>
      <w:r w:rsidR="008B5984">
        <w:rPr>
          <w:lang w:eastAsia="en-US"/>
        </w:rPr>
        <w:t>s</w:t>
      </w:r>
      <w:r w:rsidRPr="00447D36">
        <w:rPr>
          <w:lang w:eastAsia="en-US"/>
        </w:rPr>
        <w:t xml:space="preserve"> </w:t>
      </w:r>
      <w:r w:rsidR="00CA0DEB">
        <w:rPr>
          <w:lang w:eastAsia="en-US"/>
        </w:rPr>
        <w:t>assurance</w:t>
      </w:r>
      <w:r w:rsidRPr="00447D36">
        <w:rPr>
          <w:lang w:eastAsia="en-US"/>
        </w:rPr>
        <w:t xml:space="preserve"> arrangements put in place by </w:t>
      </w:r>
      <w:r w:rsidR="00CA0DEB">
        <w:rPr>
          <w:lang w:eastAsia="en-US"/>
        </w:rPr>
        <w:t xml:space="preserve">individual </w:t>
      </w:r>
      <w:r w:rsidRPr="00447D36">
        <w:rPr>
          <w:lang w:eastAsia="en-US"/>
        </w:rPr>
        <w:t xml:space="preserve">programmes and projects. </w:t>
      </w:r>
    </w:p>
    <w:p w14:paraId="11BD97E6" w14:textId="50EE02E0" w:rsidR="00447D36" w:rsidRPr="00447D36" w:rsidRDefault="00447D36" w:rsidP="0075418D">
      <w:pPr>
        <w:pStyle w:val="ListParagraph"/>
        <w:numPr>
          <w:ilvl w:val="0"/>
          <w:numId w:val="5"/>
        </w:numPr>
        <w:rPr>
          <w:lang w:eastAsia="en-US"/>
        </w:rPr>
      </w:pPr>
      <w:r w:rsidRPr="00447D36">
        <w:rPr>
          <w:lang w:eastAsia="en-US"/>
        </w:rPr>
        <w:t>Working with other corporate functions (</w:t>
      </w:r>
      <w:r w:rsidR="008B5984">
        <w:rPr>
          <w:lang w:eastAsia="en-US"/>
        </w:rPr>
        <w:t>F</w:t>
      </w:r>
      <w:r w:rsidRPr="00447D36">
        <w:rPr>
          <w:lang w:eastAsia="en-US"/>
        </w:rPr>
        <w:t xml:space="preserve">inance, </w:t>
      </w:r>
      <w:r w:rsidR="008B5984">
        <w:rPr>
          <w:lang w:eastAsia="en-US"/>
        </w:rPr>
        <w:t>C</w:t>
      </w:r>
      <w:r w:rsidRPr="00447D36">
        <w:rPr>
          <w:lang w:eastAsia="en-US"/>
        </w:rPr>
        <w:t xml:space="preserve">ommercial, </w:t>
      </w:r>
      <w:r w:rsidR="00AD5B50">
        <w:rPr>
          <w:lang w:eastAsia="en-US"/>
        </w:rPr>
        <w:t>Digital, Data and Technology (</w:t>
      </w:r>
      <w:r w:rsidRPr="00447D36">
        <w:rPr>
          <w:lang w:eastAsia="en-US"/>
        </w:rPr>
        <w:t>DDaT</w:t>
      </w:r>
      <w:r w:rsidR="00AD5B50">
        <w:rPr>
          <w:lang w:eastAsia="en-US"/>
        </w:rPr>
        <w:t>)</w:t>
      </w:r>
      <w:r w:rsidRPr="00447D36">
        <w:rPr>
          <w:lang w:eastAsia="en-US"/>
        </w:rPr>
        <w:t>) and building on the 1</w:t>
      </w:r>
      <w:r w:rsidRPr="0075418D">
        <w:rPr>
          <w:vertAlign w:val="superscript"/>
          <w:lang w:eastAsia="en-US"/>
        </w:rPr>
        <w:t>st</w:t>
      </w:r>
      <w:r w:rsidRPr="00447D36">
        <w:rPr>
          <w:lang w:eastAsia="en-US"/>
        </w:rPr>
        <w:t xml:space="preserve"> line, PPD integrates, manages and delivers the 2</w:t>
      </w:r>
      <w:r w:rsidRPr="0075418D">
        <w:rPr>
          <w:vertAlign w:val="superscript"/>
          <w:lang w:eastAsia="en-US"/>
        </w:rPr>
        <w:t>nd</w:t>
      </w:r>
      <w:r w:rsidRPr="00447D36">
        <w:rPr>
          <w:lang w:eastAsia="en-US"/>
        </w:rPr>
        <w:t xml:space="preserve"> line of assurance</w:t>
      </w:r>
      <w:r w:rsidR="00CA0DEB">
        <w:rPr>
          <w:lang w:eastAsia="en-US"/>
        </w:rPr>
        <w:t>.</w:t>
      </w:r>
      <w:r w:rsidRPr="00447D36">
        <w:rPr>
          <w:lang w:eastAsia="en-US"/>
        </w:rPr>
        <w:t xml:space="preserve"> </w:t>
      </w:r>
      <w:r w:rsidR="00CA0DEB">
        <w:rPr>
          <w:lang w:eastAsia="en-US"/>
        </w:rPr>
        <w:t>This</w:t>
      </w:r>
      <w:r w:rsidRPr="00447D36">
        <w:rPr>
          <w:lang w:eastAsia="en-US"/>
        </w:rPr>
        <w:t xml:space="preserve"> is primarily assurance reviews based upon the IPA gateway process - a tried and tested approach which is used across </w:t>
      </w:r>
      <w:r w:rsidR="00F42446">
        <w:rPr>
          <w:lang w:eastAsia="en-US"/>
        </w:rPr>
        <w:t>all Government departments</w:t>
      </w:r>
      <w:r w:rsidRPr="00447D36">
        <w:rPr>
          <w:lang w:eastAsia="en-US"/>
        </w:rPr>
        <w:t xml:space="preserve">.  Assurance and governance delivered at this level supports PIC </w:t>
      </w:r>
      <w:r w:rsidR="008B5984">
        <w:rPr>
          <w:lang w:eastAsia="en-US"/>
        </w:rPr>
        <w:t xml:space="preserve">investment approval </w:t>
      </w:r>
      <w:r w:rsidRPr="00447D36">
        <w:rPr>
          <w:lang w:eastAsia="en-US"/>
        </w:rPr>
        <w:t>considerations, and PIC approval itself is a 2</w:t>
      </w:r>
      <w:r w:rsidRPr="0075418D">
        <w:rPr>
          <w:vertAlign w:val="superscript"/>
          <w:lang w:eastAsia="en-US"/>
        </w:rPr>
        <w:t>nd</w:t>
      </w:r>
      <w:r w:rsidRPr="00447D36">
        <w:rPr>
          <w:lang w:eastAsia="en-US"/>
        </w:rPr>
        <w:t xml:space="preserve"> line of assurance.</w:t>
      </w:r>
    </w:p>
    <w:p w14:paraId="317917B7" w14:textId="467252A0" w:rsidR="00447D36" w:rsidRPr="00447D36" w:rsidRDefault="00447D36" w:rsidP="0075418D">
      <w:pPr>
        <w:pStyle w:val="ListParagraph"/>
        <w:numPr>
          <w:ilvl w:val="0"/>
          <w:numId w:val="5"/>
        </w:numPr>
        <w:rPr>
          <w:lang w:eastAsia="en-US"/>
        </w:rPr>
      </w:pPr>
      <w:r w:rsidRPr="00447D36">
        <w:rPr>
          <w:lang w:eastAsia="en-US"/>
        </w:rPr>
        <w:t>3</w:t>
      </w:r>
      <w:r w:rsidRPr="0075418D">
        <w:rPr>
          <w:vertAlign w:val="superscript"/>
          <w:lang w:eastAsia="en-US"/>
        </w:rPr>
        <w:t>rd</w:t>
      </w:r>
      <w:r w:rsidRPr="00447D36">
        <w:rPr>
          <w:lang w:eastAsia="en-US"/>
        </w:rPr>
        <w:t xml:space="preserve"> line of assurance comprises</w:t>
      </w:r>
      <w:r w:rsidR="006F07B0">
        <w:rPr>
          <w:lang w:eastAsia="en-US"/>
        </w:rPr>
        <w:t xml:space="preserve"> corporate and external assurance including</w:t>
      </w:r>
      <w:r w:rsidRPr="00447D36">
        <w:rPr>
          <w:lang w:eastAsia="en-US"/>
        </w:rPr>
        <w:t xml:space="preserve"> thematic reviews / audits</w:t>
      </w:r>
      <w:r w:rsidR="000B6A19">
        <w:rPr>
          <w:lang w:eastAsia="en-US"/>
        </w:rPr>
        <w:t xml:space="preserve"> provided by</w:t>
      </w:r>
      <w:r w:rsidRPr="00447D36">
        <w:rPr>
          <w:lang w:eastAsia="en-US"/>
        </w:rPr>
        <w:t xml:space="preserve"> </w:t>
      </w:r>
      <w:r w:rsidR="006F07B0">
        <w:rPr>
          <w:lang w:eastAsia="en-US"/>
        </w:rPr>
        <w:t xml:space="preserve">Government Internal Audit Agency (GIAA) or </w:t>
      </w:r>
      <w:r w:rsidRPr="00447D36">
        <w:rPr>
          <w:lang w:eastAsia="en-US"/>
        </w:rPr>
        <w:t>Major Project Review Group (MPRG), Government Digital Service (GDS), HMT and the National Audit Office (NAO) and also assurance reviews provided to GMPP projects through the IPA.  It is co-ordinated with 2</w:t>
      </w:r>
      <w:r w:rsidRPr="0075418D">
        <w:rPr>
          <w:vertAlign w:val="superscript"/>
          <w:lang w:eastAsia="en-US"/>
        </w:rPr>
        <w:t>nd</w:t>
      </w:r>
      <w:r w:rsidRPr="00447D36">
        <w:rPr>
          <w:lang w:eastAsia="en-US"/>
        </w:rPr>
        <w:t xml:space="preserve"> line </w:t>
      </w:r>
      <w:r w:rsidR="00F42446">
        <w:rPr>
          <w:lang w:eastAsia="en-US"/>
        </w:rPr>
        <w:t xml:space="preserve">of </w:t>
      </w:r>
      <w:r w:rsidRPr="00447D36">
        <w:rPr>
          <w:lang w:eastAsia="en-US"/>
        </w:rPr>
        <w:t xml:space="preserve">assurance interventions </w:t>
      </w:r>
      <w:r w:rsidR="008B5984">
        <w:rPr>
          <w:lang w:eastAsia="en-US"/>
        </w:rPr>
        <w:t>by</w:t>
      </w:r>
      <w:r w:rsidRPr="00447D36">
        <w:rPr>
          <w:lang w:eastAsia="en-US"/>
        </w:rPr>
        <w:t xml:space="preserve"> PPD. </w:t>
      </w:r>
    </w:p>
    <w:p w14:paraId="0D8F9410" w14:textId="7D3AF920" w:rsidR="00A258BF" w:rsidRPr="00447D36" w:rsidRDefault="00447D36" w:rsidP="0075418D">
      <w:pPr>
        <w:pStyle w:val="ListParagraph"/>
        <w:numPr>
          <w:ilvl w:val="0"/>
          <w:numId w:val="5"/>
        </w:numPr>
        <w:rPr>
          <w:lang w:eastAsia="en-US"/>
        </w:rPr>
      </w:pPr>
      <w:r w:rsidRPr="00447D36">
        <w:rPr>
          <w:lang w:eastAsia="en-US"/>
        </w:rPr>
        <w:t xml:space="preserve">Currently </w:t>
      </w:r>
      <w:r w:rsidR="00F42446">
        <w:rPr>
          <w:lang w:eastAsia="en-US"/>
        </w:rPr>
        <w:t>2</w:t>
      </w:r>
      <w:r w:rsidR="00F42446" w:rsidRPr="00F42446">
        <w:rPr>
          <w:vertAlign w:val="superscript"/>
          <w:lang w:eastAsia="en-US"/>
        </w:rPr>
        <w:t>nd</w:t>
      </w:r>
      <w:r w:rsidR="00F42446">
        <w:rPr>
          <w:lang w:eastAsia="en-US"/>
        </w:rPr>
        <w:t xml:space="preserve"> and 3</w:t>
      </w:r>
      <w:r w:rsidR="00F42446" w:rsidRPr="00F42446">
        <w:rPr>
          <w:vertAlign w:val="superscript"/>
          <w:lang w:eastAsia="en-US"/>
        </w:rPr>
        <w:t>rd</w:t>
      </w:r>
      <w:r w:rsidR="00F42446">
        <w:rPr>
          <w:lang w:eastAsia="en-US"/>
        </w:rPr>
        <w:t xml:space="preserve"> </w:t>
      </w:r>
      <w:r w:rsidRPr="00447D36">
        <w:rPr>
          <w:lang w:eastAsia="en-US"/>
        </w:rPr>
        <w:t>line</w:t>
      </w:r>
      <w:r w:rsidR="00F42446">
        <w:rPr>
          <w:lang w:eastAsia="en-US"/>
        </w:rPr>
        <w:t xml:space="preserve"> of</w:t>
      </w:r>
      <w:r w:rsidRPr="00447D36">
        <w:rPr>
          <w:lang w:eastAsia="en-US"/>
        </w:rPr>
        <w:t xml:space="preserve"> assurance is provided without cost to the </w:t>
      </w:r>
      <w:r w:rsidR="008B5984">
        <w:rPr>
          <w:lang w:eastAsia="en-US"/>
        </w:rPr>
        <w:t xml:space="preserve">programme or </w:t>
      </w:r>
      <w:r w:rsidRPr="00447D36">
        <w:rPr>
          <w:lang w:eastAsia="en-US"/>
        </w:rPr>
        <w:t>project</w:t>
      </w:r>
      <w:r w:rsidR="008B5984">
        <w:rPr>
          <w:lang w:eastAsia="en-US"/>
        </w:rPr>
        <w:t xml:space="preserve"> and supported by </w:t>
      </w:r>
      <w:r w:rsidRPr="00447D36">
        <w:rPr>
          <w:lang w:eastAsia="en-US"/>
        </w:rPr>
        <w:t>the government-wide reviewer community except for some GMPP pro</w:t>
      </w:r>
      <w:r w:rsidR="00CA0DEB">
        <w:rPr>
          <w:lang w:eastAsia="en-US"/>
        </w:rPr>
        <w:t>gramems</w:t>
      </w:r>
      <w:r w:rsidRPr="00447D36">
        <w:rPr>
          <w:lang w:eastAsia="en-US"/>
        </w:rPr>
        <w:t xml:space="preserve">, where IPA on occasion </w:t>
      </w:r>
      <w:r w:rsidRPr="00447D36">
        <w:rPr>
          <w:lang w:eastAsia="en-US"/>
        </w:rPr>
        <w:lastRenderedPageBreak/>
        <w:t xml:space="preserve">employs a freelance reviewer and that cost is passed on to the </w:t>
      </w:r>
      <w:r w:rsidR="008B5984">
        <w:rPr>
          <w:lang w:eastAsia="en-US"/>
        </w:rPr>
        <w:t>programme/</w:t>
      </w:r>
      <w:r w:rsidRPr="00447D36">
        <w:rPr>
          <w:lang w:eastAsia="en-US"/>
        </w:rPr>
        <w:t>project.</w:t>
      </w:r>
    </w:p>
    <w:p w14:paraId="582FCF5A" w14:textId="2D1F384D" w:rsidR="00CA0DEB" w:rsidRDefault="00447D36" w:rsidP="006B34E0">
      <w:pPr>
        <w:numPr>
          <w:ilvl w:val="0"/>
          <w:numId w:val="5"/>
        </w:numPr>
        <w:rPr>
          <w:lang w:eastAsia="en-US"/>
        </w:rPr>
      </w:pPr>
      <w:r w:rsidRPr="00447D36">
        <w:rPr>
          <w:lang w:eastAsia="en-US"/>
        </w:rPr>
        <w:t xml:space="preserve">PPD also provides </w:t>
      </w:r>
      <w:r w:rsidR="008B5984">
        <w:rPr>
          <w:lang w:eastAsia="en-US"/>
        </w:rPr>
        <w:t>advice and s</w:t>
      </w:r>
      <w:r w:rsidRPr="00447D36">
        <w:rPr>
          <w:lang w:eastAsia="en-US"/>
        </w:rPr>
        <w:t xml:space="preserve">upport </w:t>
      </w:r>
      <w:r w:rsidR="00537A5B">
        <w:rPr>
          <w:lang w:eastAsia="en-US"/>
        </w:rPr>
        <w:t>to the projects and programmes in</w:t>
      </w:r>
      <w:r w:rsidRPr="00447D36">
        <w:rPr>
          <w:lang w:eastAsia="en-US"/>
        </w:rPr>
        <w:t xml:space="preserve"> the H</w:t>
      </w:r>
      <w:r w:rsidR="0038083C">
        <w:rPr>
          <w:lang w:eastAsia="en-US"/>
        </w:rPr>
        <w:t xml:space="preserve">ome </w:t>
      </w:r>
      <w:r w:rsidRPr="00447D36">
        <w:rPr>
          <w:lang w:eastAsia="en-US"/>
        </w:rPr>
        <w:t>O</w:t>
      </w:r>
      <w:r w:rsidR="0038083C">
        <w:rPr>
          <w:lang w:eastAsia="en-US"/>
        </w:rPr>
        <w:t>ffice</w:t>
      </w:r>
      <w:r w:rsidRPr="00447D36">
        <w:rPr>
          <w:lang w:eastAsia="en-US"/>
        </w:rPr>
        <w:t xml:space="preserve"> </w:t>
      </w:r>
      <w:r w:rsidR="008B5984">
        <w:rPr>
          <w:lang w:eastAsia="en-US"/>
        </w:rPr>
        <w:t>change p</w:t>
      </w:r>
      <w:r w:rsidRPr="00447D36">
        <w:rPr>
          <w:lang w:eastAsia="en-US"/>
        </w:rPr>
        <w:t>ortfolio.</w:t>
      </w:r>
    </w:p>
    <w:p w14:paraId="56D5FE50" w14:textId="72419883" w:rsidR="00447D36" w:rsidRPr="00447D36" w:rsidRDefault="007D48D9" w:rsidP="00713DCC">
      <w:pPr>
        <w:numPr>
          <w:ilvl w:val="0"/>
          <w:numId w:val="5"/>
        </w:numPr>
        <w:rPr>
          <w:lang w:eastAsia="en-US"/>
        </w:rPr>
      </w:pPr>
      <w:r>
        <w:rPr>
          <w:lang w:eastAsia="en-US"/>
        </w:rPr>
        <w:t>The IPA mandates I</w:t>
      </w:r>
      <w:r w:rsidR="00CA0DEB">
        <w:rPr>
          <w:lang w:eastAsia="en-US"/>
        </w:rPr>
        <w:t xml:space="preserve">ntegrated </w:t>
      </w:r>
      <w:r>
        <w:rPr>
          <w:lang w:eastAsia="en-US"/>
        </w:rPr>
        <w:t>A</w:t>
      </w:r>
      <w:r w:rsidR="00CA0DEB">
        <w:rPr>
          <w:lang w:eastAsia="en-US"/>
        </w:rPr>
        <w:t>ssurance and Approval Plans (IAAPs)</w:t>
      </w:r>
      <w:r>
        <w:rPr>
          <w:lang w:eastAsia="en-US"/>
        </w:rPr>
        <w:t xml:space="preserve"> f</w:t>
      </w:r>
      <w:r w:rsidR="00F42446">
        <w:rPr>
          <w:lang w:eastAsia="en-US"/>
        </w:rPr>
        <w:t>or</w:t>
      </w:r>
      <w:r>
        <w:rPr>
          <w:lang w:eastAsia="en-US"/>
        </w:rPr>
        <w:t xml:space="preserve"> a</w:t>
      </w:r>
      <w:r w:rsidR="00447D36" w:rsidRPr="00447D36">
        <w:rPr>
          <w:lang w:eastAsia="en-US"/>
        </w:rPr>
        <w:t xml:space="preserve">ll major programmes </w:t>
      </w:r>
      <w:r w:rsidR="00447D36">
        <w:rPr>
          <w:lang w:eastAsia="en-US"/>
        </w:rPr>
        <w:t xml:space="preserve">and PPD is </w:t>
      </w:r>
      <w:r w:rsidR="00CA0DEB">
        <w:rPr>
          <w:lang w:eastAsia="en-US"/>
        </w:rPr>
        <w:t>promoting the creation and use of IAAPs by a</w:t>
      </w:r>
      <w:r w:rsidR="00447D36">
        <w:rPr>
          <w:lang w:eastAsia="en-US"/>
        </w:rPr>
        <w:t>ll programmes and projec</w:t>
      </w:r>
      <w:r w:rsidR="00662A2B">
        <w:rPr>
          <w:lang w:eastAsia="en-US"/>
        </w:rPr>
        <w:t xml:space="preserve">ts (see </w:t>
      </w:r>
      <w:hyperlink w:anchor="_Annex_B_–" w:history="1">
        <w:r w:rsidR="00662A2B" w:rsidRPr="00F77586">
          <w:rPr>
            <w:rStyle w:val="Hyperlink"/>
            <w:lang w:eastAsia="en-US"/>
          </w:rPr>
          <w:t>Annex B</w:t>
        </w:r>
      </w:hyperlink>
      <w:r w:rsidR="00447D36">
        <w:rPr>
          <w:lang w:eastAsia="en-US"/>
        </w:rPr>
        <w:t xml:space="preserve"> for a template)</w:t>
      </w:r>
      <w:r w:rsidR="00447D36" w:rsidRPr="00447D36">
        <w:rPr>
          <w:lang w:eastAsia="en-US"/>
        </w:rPr>
        <w:t>.</w:t>
      </w:r>
    </w:p>
    <w:p w14:paraId="6A8A1854" w14:textId="77777777" w:rsidR="00D37F7F" w:rsidRDefault="009E6CE1" w:rsidP="00C119DB">
      <w:pPr>
        <w:pStyle w:val="Heading1"/>
        <w:rPr>
          <w:lang w:val="en" w:eastAsia="en-US"/>
        </w:rPr>
      </w:pPr>
      <w:bookmarkStart w:id="4" w:name="_Toc522098873"/>
      <w:r>
        <w:rPr>
          <w:lang w:val="en" w:eastAsia="en-US"/>
        </w:rPr>
        <w:lastRenderedPageBreak/>
        <w:t>Approvals</w:t>
      </w:r>
      <w:bookmarkEnd w:id="4"/>
      <w:r>
        <w:rPr>
          <w:lang w:val="en" w:eastAsia="en-US"/>
        </w:rPr>
        <w:t xml:space="preserve"> </w:t>
      </w:r>
    </w:p>
    <w:p w14:paraId="2313009B" w14:textId="77CE2E33" w:rsidR="00537A5B" w:rsidRDefault="00CA0DEB" w:rsidP="00537A5B">
      <w:pPr>
        <w:rPr>
          <w:lang w:eastAsia="en-US"/>
        </w:rPr>
      </w:pPr>
      <w:r>
        <w:rPr>
          <w:lang w:eastAsia="en-US"/>
        </w:rPr>
        <w:t xml:space="preserve">The </w:t>
      </w:r>
      <w:r w:rsidR="00496008" w:rsidRPr="00496008">
        <w:rPr>
          <w:lang w:eastAsia="en-US"/>
        </w:rPr>
        <w:t>P</w:t>
      </w:r>
      <w:r w:rsidR="002E3F1F">
        <w:rPr>
          <w:lang w:eastAsia="en-US"/>
        </w:rPr>
        <w:t>ortfolio, I</w:t>
      </w:r>
      <w:r>
        <w:rPr>
          <w:lang w:eastAsia="en-US"/>
        </w:rPr>
        <w:t xml:space="preserve">nvestment and </w:t>
      </w:r>
      <w:r w:rsidR="00496008" w:rsidRPr="00496008">
        <w:rPr>
          <w:lang w:eastAsia="en-US"/>
        </w:rPr>
        <w:t>C</w:t>
      </w:r>
      <w:r>
        <w:rPr>
          <w:lang w:eastAsia="en-US"/>
        </w:rPr>
        <w:t xml:space="preserve">hange Committee (PIC), </w:t>
      </w:r>
      <w:r w:rsidR="00496008" w:rsidRPr="00496008">
        <w:rPr>
          <w:lang w:eastAsia="en-US"/>
        </w:rPr>
        <w:t xml:space="preserve">a sub-committee of the </w:t>
      </w:r>
      <w:r>
        <w:rPr>
          <w:lang w:eastAsia="en-US"/>
        </w:rPr>
        <w:t xml:space="preserve">Home Office </w:t>
      </w:r>
      <w:r w:rsidR="00496008" w:rsidRPr="00496008">
        <w:rPr>
          <w:lang w:eastAsia="en-US"/>
        </w:rPr>
        <w:t>Executive Committee (ExCo)</w:t>
      </w:r>
      <w:r>
        <w:rPr>
          <w:lang w:eastAsia="en-US"/>
        </w:rPr>
        <w:t>,</w:t>
      </w:r>
      <w:r w:rsidR="00496008" w:rsidRPr="00496008">
        <w:rPr>
          <w:lang w:eastAsia="en-US"/>
        </w:rPr>
        <w:t xml:space="preserve"> and other portfolio boards at system/business level provide strategic oversight</w:t>
      </w:r>
      <w:r>
        <w:rPr>
          <w:lang w:eastAsia="en-US"/>
        </w:rPr>
        <w:t xml:space="preserve"> in addition to the </w:t>
      </w:r>
      <w:r w:rsidR="00496008" w:rsidRPr="00496008">
        <w:rPr>
          <w:lang w:eastAsia="en-US"/>
        </w:rPr>
        <w:t xml:space="preserve">governance </w:t>
      </w:r>
      <w:r>
        <w:rPr>
          <w:lang w:eastAsia="en-US"/>
        </w:rPr>
        <w:t xml:space="preserve">provided by individual </w:t>
      </w:r>
      <w:r w:rsidR="00496008" w:rsidRPr="00496008">
        <w:rPr>
          <w:lang w:eastAsia="en-US"/>
        </w:rPr>
        <w:t xml:space="preserve">programme and project boards. </w:t>
      </w:r>
      <w:r>
        <w:rPr>
          <w:lang w:eastAsia="en-US"/>
        </w:rPr>
        <w:t xml:space="preserve"> </w:t>
      </w:r>
      <w:r w:rsidR="00496008" w:rsidRPr="00496008">
        <w:rPr>
          <w:lang w:eastAsia="en-US"/>
        </w:rPr>
        <w:t xml:space="preserve">Investment approval for all programmes and projects with a whole life cost </w:t>
      </w:r>
      <w:r w:rsidR="00642256">
        <w:rPr>
          <w:lang w:eastAsia="en-US"/>
        </w:rPr>
        <w:t xml:space="preserve">(WLC) </w:t>
      </w:r>
      <w:r w:rsidR="00496008" w:rsidRPr="00496008">
        <w:rPr>
          <w:lang w:eastAsia="en-US"/>
        </w:rPr>
        <w:t xml:space="preserve">of over £5m is provided through PIC. </w:t>
      </w:r>
      <w:r>
        <w:rPr>
          <w:lang w:eastAsia="en-US"/>
        </w:rPr>
        <w:t xml:space="preserve"> PIC is supported by its sub-committees which are th</w:t>
      </w:r>
      <w:r w:rsidR="00496008" w:rsidRPr="00496008">
        <w:rPr>
          <w:lang w:eastAsia="en-US"/>
        </w:rPr>
        <w:t>e Business</w:t>
      </w:r>
      <w:r w:rsidR="00385DDD">
        <w:rPr>
          <w:lang w:eastAsia="en-US"/>
        </w:rPr>
        <w:t xml:space="preserve"> Design Authority (BDA)</w:t>
      </w:r>
      <w:r w:rsidR="00642256">
        <w:rPr>
          <w:rStyle w:val="FootnoteReference"/>
          <w:lang w:eastAsia="en-US"/>
        </w:rPr>
        <w:footnoteReference w:id="1"/>
      </w:r>
      <w:r w:rsidR="00385DDD">
        <w:rPr>
          <w:lang w:eastAsia="en-US"/>
        </w:rPr>
        <w:t>, Technical Design Authority (TDA)</w:t>
      </w:r>
      <w:r w:rsidR="00642256">
        <w:rPr>
          <w:rStyle w:val="FootnoteReference"/>
          <w:lang w:eastAsia="en-US"/>
        </w:rPr>
        <w:footnoteReference w:id="2"/>
      </w:r>
      <w:r w:rsidR="00385DDD">
        <w:rPr>
          <w:lang w:eastAsia="en-US"/>
        </w:rPr>
        <w:t xml:space="preserve"> </w:t>
      </w:r>
      <w:r w:rsidR="00496008" w:rsidRPr="00496008">
        <w:rPr>
          <w:lang w:eastAsia="en-US"/>
        </w:rPr>
        <w:t xml:space="preserve">and the Commercial </w:t>
      </w:r>
      <w:r>
        <w:rPr>
          <w:lang w:eastAsia="en-US"/>
        </w:rPr>
        <w:t>Assurance Board (CAB)</w:t>
      </w:r>
      <w:r w:rsidR="00160F8A">
        <w:rPr>
          <w:rStyle w:val="FootnoteReference"/>
          <w:lang w:eastAsia="en-US"/>
        </w:rPr>
        <w:footnoteReference w:id="3"/>
      </w:r>
      <w:r>
        <w:rPr>
          <w:lang w:eastAsia="en-US"/>
        </w:rPr>
        <w:t xml:space="preserve">.  </w:t>
      </w:r>
      <w:r w:rsidR="00537A5B">
        <w:rPr>
          <w:lang w:eastAsia="en-US"/>
        </w:rPr>
        <w:t>It also has links to the Data Board and the recently established Policing Portfolio Board.</w:t>
      </w:r>
    </w:p>
    <w:p w14:paraId="7940C8E3" w14:textId="354CDC5F" w:rsidR="00642256" w:rsidRDefault="00642256" w:rsidP="00496008">
      <w:pPr>
        <w:rPr>
          <w:szCs w:val="24"/>
        </w:rPr>
      </w:pPr>
      <w:r>
        <w:rPr>
          <w:szCs w:val="24"/>
        </w:rPr>
        <w:t>All Government spending is subject to formal oversight from Cabinet Office and HM</w:t>
      </w:r>
      <w:r w:rsidR="002E3F1F">
        <w:rPr>
          <w:szCs w:val="24"/>
        </w:rPr>
        <w:t>T</w:t>
      </w:r>
      <w:r>
        <w:rPr>
          <w:szCs w:val="24"/>
        </w:rPr>
        <w:t xml:space="preserve">.  This applies to Home Office spending on programmes and projects over £100m WLC.  </w:t>
      </w:r>
      <w:hyperlink r:id="rId17" w:history="1">
        <w:r w:rsidRPr="00041463">
          <w:rPr>
            <w:rStyle w:val="Hyperlink"/>
            <w:szCs w:val="24"/>
          </w:rPr>
          <w:t>Cabinet Office</w:t>
        </w:r>
      </w:hyperlink>
      <w:r w:rsidRPr="00041463">
        <w:rPr>
          <w:szCs w:val="24"/>
        </w:rPr>
        <w:t xml:space="preserve"> guidance </w:t>
      </w:r>
      <w:r>
        <w:rPr>
          <w:szCs w:val="24"/>
        </w:rPr>
        <w:t xml:space="preserve">on their approvals process </w:t>
      </w:r>
      <w:r w:rsidRPr="00041463">
        <w:rPr>
          <w:szCs w:val="24"/>
        </w:rPr>
        <w:t xml:space="preserve">is </w:t>
      </w:r>
      <w:r>
        <w:rPr>
          <w:szCs w:val="24"/>
        </w:rPr>
        <w:t>published</w:t>
      </w:r>
      <w:r w:rsidRPr="00041463">
        <w:rPr>
          <w:szCs w:val="24"/>
        </w:rPr>
        <w:t xml:space="preserve"> on</w:t>
      </w:r>
      <w:r>
        <w:rPr>
          <w:szCs w:val="24"/>
        </w:rPr>
        <w:t xml:space="preserve"> GOV.UK.  Technical/Digital spend above £5m WLC also require approval from </w:t>
      </w:r>
      <w:r w:rsidR="002E3F1F">
        <w:rPr>
          <w:szCs w:val="24"/>
        </w:rPr>
        <w:t>GDS</w:t>
      </w:r>
      <w:r>
        <w:rPr>
          <w:szCs w:val="24"/>
        </w:rPr>
        <w:t xml:space="preserve">. </w:t>
      </w:r>
    </w:p>
    <w:p w14:paraId="402D8DEA" w14:textId="798C04B1" w:rsidR="00D37F7F" w:rsidRDefault="00C475E9" w:rsidP="00C119DB">
      <w:pPr>
        <w:pStyle w:val="Heading1"/>
        <w:rPr>
          <w:lang w:val="en" w:eastAsia="en-US"/>
        </w:rPr>
      </w:pPr>
      <w:bookmarkStart w:id="5" w:name="_Toc522098874"/>
      <w:r>
        <w:rPr>
          <w:lang w:val="en" w:eastAsia="en-US"/>
        </w:rPr>
        <w:lastRenderedPageBreak/>
        <w:t>Responsibilities and A</w:t>
      </w:r>
      <w:r w:rsidR="009E6CE1">
        <w:rPr>
          <w:lang w:val="en" w:eastAsia="en-US"/>
        </w:rPr>
        <w:t>ccountabilities</w:t>
      </w:r>
      <w:bookmarkEnd w:id="5"/>
    </w:p>
    <w:p w14:paraId="2EAA27BF" w14:textId="4D9F8182" w:rsidR="00B25D56" w:rsidRDefault="002E3F1F" w:rsidP="007D48D9">
      <w:r>
        <w:rPr>
          <w:noProof/>
          <w:lang w:eastAsia="en-US"/>
        </w:rPr>
        <w:drawing>
          <wp:anchor distT="0" distB="0" distL="114300" distR="114300" simplePos="0" relativeHeight="251665408" behindDoc="0" locked="0" layoutInCell="1" allowOverlap="1" wp14:anchorId="6580533B" wp14:editId="017C205B">
            <wp:simplePos x="0" y="0"/>
            <wp:positionH relativeFrom="margin">
              <wp:align>left</wp:align>
            </wp:positionH>
            <wp:positionV relativeFrom="paragraph">
              <wp:posOffset>803910</wp:posOffset>
            </wp:positionV>
            <wp:extent cx="5486400" cy="3300095"/>
            <wp:effectExtent l="19050" t="19050" r="19050" b="14605"/>
            <wp:wrapSquare wrapText="bothSides"/>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l="23958" t="23581" r="23519" b="20619"/>
                    <a:stretch/>
                  </pic:blipFill>
                  <pic:spPr bwMode="auto">
                    <a:xfrm>
                      <a:off x="0" y="0"/>
                      <a:ext cx="5486400" cy="3300095"/>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DEB">
        <w:t xml:space="preserve">As illustrated </w:t>
      </w:r>
      <w:r w:rsidR="002B40FB">
        <w:t>below, th</w:t>
      </w:r>
      <w:r w:rsidR="00B25D56" w:rsidRPr="00B25D56">
        <w:t>e Home Office Assurance Framework is based on best practice guidance from HM</w:t>
      </w:r>
      <w:r>
        <w:t>T</w:t>
      </w:r>
      <w:r w:rsidR="00B25D56" w:rsidRPr="00B25D56">
        <w:t xml:space="preserve">.  It provides assurance on different areas of organisational control which form the government framework for the department, as set out in the Annual Governance Statement.  </w:t>
      </w:r>
    </w:p>
    <w:p w14:paraId="50C386C7" w14:textId="0A25223F" w:rsidR="00CA0DEB" w:rsidRPr="00B25D56" w:rsidRDefault="00CA0DEB" w:rsidP="007D48D9"/>
    <w:p w14:paraId="78166990" w14:textId="27998D52" w:rsidR="00B25D56" w:rsidRDefault="002E3F1F" w:rsidP="0064345C">
      <w:r>
        <w:t>Programme and project</w:t>
      </w:r>
      <w:r w:rsidR="00B25D56" w:rsidRPr="00B25D56">
        <w:t xml:space="preserve"> assurance forms a core part of this control framework, given the criticality of the department’s change plans and the significant investme</w:t>
      </w:r>
      <w:r>
        <w:t>nt in change over the current spending review</w:t>
      </w:r>
      <w:r w:rsidR="00B25D56" w:rsidRPr="00B25D56">
        <w:t xml:space="preserve"> period.  </w:t>
      </w:r>
    </w:p>
    <w:p w14:paraId="0EDCC163" w14:textId="1CAD9563" w:rsidR="0038083C" w:rsidRPr="00496008" w:rsidRDefault="002B40FB" w:rsidP="0038083C">
      <w:pPr>
        <w:rPr>
          <w:lang w:eastAsia="en-US"/>
        </w:rPr>
      </w:pPr>
      <w:r>
        <w:rPr>
          <w:lang w:eastAsia="en-US"/>
        </w:rPr>
        <w:t>SROs</w:t>
      </w:r>
      <w:r w:rsidR="007D48D9">
        <w:rPr>
          <w:lang w:eastAsia="en-US"/>
        </w:rPr>
        <w:t xml:space="preserve"> </w:t>
      </w:r>
      <w:r w:rsidR="0038083C">
        <w:rPr>
          <w:lang w:eastAsia="en-US"/>
        </w:rPr>
        <w:t>are</w:t>
      </w:r>
      <w:r w:rsidR="00E50610" w:rsidRPr="00E50610">
        <w:rPr>
          <w:lang w:eastAsia="en-US"/>
        </w:rPr>
        <w:t xml:space="preserve"> responsible for ensuring appropriate governance and assurance at programme and project level, including agreeing an </w:t>
      </w:r>
      <w:r w:rsidR="0038083C">
        <w:rPr>
          <w:lang w:eastAsia="en-US"/>
        </w:rPr>
        <w:t xml:space="preserve">IAAP </w:t>
      </w:r>
      <w:r w:rsidR="007D48D9">
        <w:rPr>
          <w:lang w:eastAsia="en-US"/>
        </w:rPr>
        <w:t xml:space="preserve">with PPD and/or </w:t>
      </w:r>
      <w:r w:rsidR="00E50610" w:rsidRPr="00E50610">
        <w:rPr>
          <w:lang w:eastAsia="en-US"/>
        </w:rPr>
        <w:t>thei</w:t>
      </w:r>
      <w:r w:rsidR="007D48D9">
        <w:rPr>
          <w:lang w:eastAsia="en-US"/>
        </w:rPr>
        <w:t xml:space="preserve">r sub-portfolio board, with </w:t>
      </w:r>
      <w:r w:rsidR="006F07B0">
        <w:rPr>
          <w:lang w:eastAsia="en-US"/>
        </w:rPr>
        <w:t xml:space="preserve">Project Assurance Reviews (PARs) </w:t>
      </w:r>
      <w:r w:rsidR="00E50610" w:rsidRPr="00E50610">
        <w:rPr>
          <w:lang w:eastAsia="en-US"/>
        </w:rPr>
        <w:t>/Gateway</w:t>
      </w:r>
      <w:r w:rsidR="007D48D9">
        <w:rPr>
          <w:lang w:eastAsia="en-US"/>
        </w:rPr>
        <w:t xml:space="preserve"> reviews</w:t>
      </w:r>
      <w:r w:rsidR="00E50610" w:rsidRPr="00E50610">
        <w:rPr>
          <w:lang w:eastAsia="en-US"/>
        </w:rPr>
        <w:t>/internal assurance reviews at key points in the delivery lifecycle, and commissioning any ot</w:t>
      </w:r>
      <w:r w:rsidR="00E50610">
        <w:rPr>
          <w:lang w:eastAsia="en-US"/>
        </w:rPr>
        <w:t xml:space="preserve">her assurance deemed necessary </w:t>
      </w:r>
      <w:r w:rsidR="00E50610" w:rsidRPr="00E50610">
        <w:rPr>
          <w:lang w:eastAsia="en-US"/>
        </w:rPr>
        <w:t xml:space="preserve">or helpful. </w:t>
      </w:r>
      <w:r w:rsidR="0038083C">
        <w:rPr>
          <w:lang w:eastAsia="en-US"/>
        </w:rPr>
        <w:t xml:space="preserve"> </w:t>
      </w:r>
      <w:r w:rsidR="0038083C" w:rsidRPr="00496008">
        <w:rPr>
          <w:lang w:eastAsia="en-US"/>
        </w:rPr>
        <w:t>For major and mission critical programmes</w:t>
      </w:r>
      <w:r w:rsidR="00D252AB">
        <w:rPr>
          <w:lang w:eastAsia="en-US"/>
        </w:rPr>
        <w:t>,</w:t>
      </w:r>
      <w:r w:rsidR="0038083C" w:rsidRPr="00496008">
        <w:rPr>
          <w:lang w:eastAsia="en-US"/>
        </w:rPr>
        <w:t xml:space="preserve"> </w:t>
      </w:r>
      <w:r w:rsidR="00D252AB">
        <w:rPr>
          <w:lang w:eastAsia="en-US"/>
        </w:rPr>
        <w:t>SRO</w:t>
      </w:r>
      <w:r w:rsidR="0038083C" w:rsidRPr="00496008">
        <w:rPr>
          <w:lang w:eastAsia="en-US"/>
        </w:rPr>
        <w:t xml:space="preserve"> responsibilities are set out through </w:t>
      </w:r>
      <w:hyperlink r:id="rId19" w:history="1">
        <w:r w:rsidR="0038083C" w:rsidRPr="00623B81">
          <w:rPr>
            <w:rStyle w:val="Hyperlink"/>
            <w:lang w:eastAsia="en-US"/>
          </w:rPr>
          <w:t>formal appointment letters</w:t>
        </w:r>
      </w:hyperlink>
      <w:r w:rsidR="0038083C" w:rsidRPr="00496008">
        <w:rPr>
          <w:lang w:eastAsia="en-US"/>
        </w:rPr>
        <w:t xml:space="preserve">. </w:t>
      </w:r>
    </w:p>
    <w:p w14:paraId="45F3A10C" w14:textId="338915FF" w:rsidR="00E50610" w:rsidRPr="00E50610" w:rsidRDefault="0038083C" w:rsidP="00E50610">
      <w:pPr>
        <w:rPr>
          <w:lang w:eastAsia="en-US"/>
        </w:rPr>
      </w:pPr>
      <w:r>
        <w:rPr>
          <w:lang w:eastAsia="en-US"/>
        </w:rPr>
        <w:t xml:space="preserve">The </w:t>
      </w:r>
      <w:r w:rsidR="00E50610" w:rsidRPr="00E50610">
        <w:rPr>
          <w:lang w:eastAsia="en-US"/>
        </w:rPr>
        <w:t xml:space="preserve">Chief Portfolio Officer </w:t>
      </w:r>
      <w:r>
        <w:rPr>
          <w:lang w:eastAsia="en-US"/>
        </w:rPr>
        <w:t xml:space="preserve">(CPO) </w:t>
      </w:r>
      <w:r w:rsidR="00E50610" w:rsidRPr="00E50610">
        <w:rPr>
          <w:lang w:eastAsia="en-US"/>
        </w:rPr>
        <w:t>is responsible for ensuring appropriate governance and assurance</w:t>
      </w:r>
      <w:r w:rsidR="00E50610">
        <w:rPr>
          <w:lang w:eastAsia="en-US"/>
        </w:rPr>
        <w:t xml:space="preserve"> at portfolio level</w:t>
      </w:r>
      <w:r w:rsidR="00E50610" w:rsidRPr="00E50610">
        <w:rPr>
          <w:lang w:eastAsia="en-US"/>
        </w:rPr>
        <w:t xml:space="preserve"> </w:t>
      </w:r>
      <w:r w:rsidR="00D252AB">
        <w:rPr>
          <w:lang w:eastAsia="en-US"/>
        </w:rPr>
        <w:t xml:space="preserve">and </w:t>
      </w:r>
      <w:r w:rsidR="00E50610" w:rsidRPr="00E50610">
        <w:rPr>
          <w:lang w:eastAsia="en-US"/>
        </w:rPr>
        <w:t xml:space="preserve">the commissioning of </w:t>
      </w:r>
      <w:r w:rsidR="001D3C6D">
        <w:rPr>
          <w:lang w:eastAsia="en-US"/>
        </w:rPr>
        <w:t>PARs or</w:t>
      </w:r>
      <w:r w:rsidR="00BE2FBE">
        <w:rPr>
          <w:lang w:eastAsia="en-US"/>
        </w:rPr>
        <w:t xml:space="preserve"> </w:t>
      </w:r>
      <w:r w:rsidR="00E50610" w:rsidRPr="00E50610">
        <w:rPr>
          <w:lang w:eastAsia="en-US"/>
        </w:rPr>
        <w:t>Gateway</w:t>
      </w:r>
      <w:r w:rsidR="007D48D9">
        <w:rPr>
          <w:lang w:eastAsia="en-US"/>
        </w:rPr>
        <w:t xml:space="preserve"> reviews</w:t>
      </w:r>
      <w:r w:rsidR="00E50610" w:rsidRPr="00E50610">
        <w:rPr>
          <w:lang w:eastAsia="en-US"/>
        </w:rPr>
        <w:t xml:space="preserve"> and any other assurance deemed necessary, e.g. deep dive reviews or audits.  </w:t>
      </w:r>
    </w:p>
    <w:p w14:paraId="2E761809" w14:textId="7323EB6A" w:rsidR="00E50610" w:rsidRDefault="0038083C" w:rsidP="00496008">
      <w:pPr>
        <w:rPr>
          <w:lang w:eastAsia="en-US"/>
        </w:rPr>
      </w:pPr>
      <w:r>
        <w:rPr>
          <w:lang w:eastAsia="en-US"/>
        </w:rPr>
        <w:t xml:space="preserve">PIC </w:t>
      </w:r>
      <w:r w:rsidR="00E50610" w:rsidRPr="00E50610">
        <w:rPr>
          <w:lang w:eastAsia="en-US"/>
        </w:rPr>
        <w:t xml:space="preserve">and </w:t>
      </w:r>
      <w:r>
        <w:rPr>
          <w:lang w:eastAsia="en-US"/>
        </w:rPr>
        <w:t xml:space="preserve">its </w:t>
      </w:r>
      <w:r w:rsidR="00E50610" w:rsidRPr="00E50610">
        <w:rPr>
          <w:lang w:eastAsia="en-US"/>
        </w:rPr>
        <w:t xml:space="preserve">sub-boards (BDA, TDA and CAB) </w:t>
      </w:r>
      <w:r>
        <w:rPr>
          <w:lang w:eastAsia="en-US"/>
        </w:rPr>
        <w:t xml:space="preserve">are </w:t>
      </w:r>
      <w:r w:rsidR="00E50610" w:rsidRPr="00E50610">
        <w:rPr>
          <w:lang w:eastAsia="en-US"/>
        </w:rPr>
        <w:t xml:space="preserve">in place and meet at least monthly to consider programme and project investment approvals.  PIC also reviews portfolio progress, spend, resourcing, risks and issues monthly and quarterly, </w:t>
      </w:r>
      <w:r w:rsidR="00D252AB">
        <w:rPr>
          <w:lang w:eastAsia="en-US"/>
        </w:rPr>
        <w:t xml:space="preserve">and </w:t>
      </w:r>
      <w:r w:rsidR="00E50610" w:rsidRPr="00E50610">
        <w:rPr>
          <w:lang w:eastAsia="en-US"/>
        </w:rPr>
        <w:t xml:space="preserve">agrees any necessary mitigation action and </w:t>
      </w:r>
      <w:r w:rsidR="00D252AB">
        <w:rPr>
          <w:lang w:eastAsia="en-US"/>
        </w:rPr>
        <w:t xml:space="preserve">the </w:t>
      </w:r>
      <w:r w:rsidR="00E50610" w:rsidRPr="00E50610">
        <w:rPr>
          <w:lang w:eastAsia="en-US"/>
        </w:rPr>
        <w:t>latest view of portfolio delivery confidence</w:t>
      </w:r>
      <w:r>
        <w:rPr>
          <w:lang w:eastAsia="en-US"/>
        </w:rPr>
        <w:t>.  This includes m</w:t>
      </w:r>
      <w:r w:rsidR="00E50610" w:rsidRPr="00E50610">
        <w:rPr>
          <w:lang w:eastAsia="en-US"/>
        </w:rPr>
        <w:t>onthly programme reporting to E</w:t>
      </w:r>
      <w:r w:rsidR="007D48D9">
        <w:rPr>
          <w:lang w:eastAsia="en-US"/>
        </w:rPr>
        <w:t>xCo</w:t>
      </w:r>
      <w:r w:rsidR="00E50610" w:rsidRPr="00E50610">
        <w:rPr>
          <w:lang w:eastAsia="en-US"/>
        </w:rPr>
        <w:t xml:space="preserve"> on </w:t>
      </w:r>
      <w:r w:rsidR="00D252AB">
        <w:rPr>
          <w:lang w:eastAsia="en-US"/>
        </w:rPr>
        <w:t>Major</w:t>
      </w:r>
      <w:r w:rsidR="00E50610" w:rsidRPr="00E50610">
        <w:rPr>
          <w:lang w:eastAsia="en-US"/>
        </w:rPr>
        <w:t xml:space="preserve"> </w:t>
      </w:r>
      <w:r w:rsidR="00D252AB">
        <w:rPr>
          <w:lang w:eastAsia="en-US"/>
        </w:rPr>
        <w:t xml:space="preserve">(GMPP) </w:t>
      </w:r>
      <w:r w:rsidR="00E50610" w:rsidRPr="00E50610">
        <w:rPr>
          <w:lang w:eastAsia="en-US"/>
        </w:rPr>
        <w:t xml:space="preserve">and </w:t>
      </w:r>
      <w:r w:rsidR="002E3F1F" w:rsidRPr="00E50610">
        <w:rPr>
          <w:lang w:eastAsia="en-US"/>
        </w:rPr>
        <w:t xml:space="preserve">mission critical programmes, </w:t>
      </w:r>
      <w:r w:rsidR="00E50610" w:rsidRPr="00E50610">
        <w:rPr>
          <w:lang w:eastAsia="en-US"/>
        </w:rPr>
        <w:t xml:space="preserve">and </w:t>
      </w:r>
      <w:r w:rsidR="00D252AB">
        <w:rPr>
          <w:lang w:eastAsia="en-US"/>
        </w:rPr>
        <w:t xml:space="preserve">quarterly to the </w:t>
      </w:r>
      <w:r w:rsidR="00E50610" w:rsidRPr="00E50610">
        <w:rPr>
          <w:lang w:eastAsia="en-US"/>
        </w:rPr>
        <w:t xml:space="preserve">IPA on </w:t>
      </w:r>
      <w:r w:rsidR="00D252AB">
        <w:rPr>
          <w:lang w:eastAsia="en-US"/>
        </w:rPr>
        <w:t>the former</w:t>
      </w:r>
      <w:r>
        <w:rPr>
          <w:lang w:eastAsia="en-US"/>
        </w:rPr>
        <w:t xml:space="preserve">. </w:t>
      </w:r>
    </w:p>
    <w:p w14:paraId="0384E079" w14:textId="6A866B59" w:rsidR="00496008" w:rsidRDefault="00496008" w:rsidP="00496008">
      <w:pPr>
        <w:rPr>
          <w:lang w:eastAsia="en-US"/>
        </w:rPr>
      </w:pPr>
      <w:r w:rsidRPr="00496008">
        <w:rPr>
          <w:lang w:eastAsia="en-US"/>
        </w:rPr>
        <w:lastRenderedPageBreak/>
        <w:t>Accountability for delivery of transformation plans, and the associated portfolio, lies with the D</w:t>
      </w:r>
      <w:r w:rsidR="002E3F1F">
        <w:rPr>
          <w:lang w:eastAsia="en-US"/>
        </w:rPr>
        <w:t>G</w:t>
      </w:r>
      <w:r w:rsidRPr="00496008">
        <w:rPr>
          <w:lang w:eastAsia="en-US"/>
        </w:rPr>
        <w:t xml:space="preserve"> of each business area, and the Chief Executive in the case of </w:t>
      </w:r>
      <w:r w:rsidR="00D252AB">
        <w:rPr>
          <w:lang w:eastAsia="en-US"/>
        </w:rPr>
        <w:t xml:space="preserve">the Home Office’s </w:t>
      </w:r>
      <w:r w:rsidRPr="00496008">
        <w:rPr>
          <w:lang w:eastAsia="en-US"/>
        </w:rPr>
        <w:t xml:space="preserve">Arm’s Length Bodies. </w:t>
      </w:r>
      <w:r w:rsidR="00D252AB">
        <w:rPr>
          <w:lang w:eastAsia="en-US"/>
        </w:rPr>
        <w:t xml:space="preserve"> </w:t>
      </w:r>
      <w:r w:rsidRPr="00496008">
        <w:rPr>
          <w:lang w:eastAsia="en-US"/>
        </w:rPr>
        <w:t xml:space="preserve">Strategic direction is provided for transformation by the Strategic Capabilities Board, which is responsible for identifying the strategic capabilities which the sector needs, with executive oversight through the Departmental Board and ExCo.  </w:t>
      </w:r>
      <w:r w:rsidR="0064345C">
        <w:rPr>
          <w:lang w:eastAsia="en-US"/>
        </w:rPr>
        <w:t>PIC</w:t>
      </w:r>
      <w:r w:rsidR="00D252AB">
        <w:rPr>
          <w:lang w:eastAsia="en-US"/>
        </w:rPr>
        <w:t xml:space="preserve"> is also responsible for overseeing delivery of</w:t>
      </w:r>
      <w:r w:rsidR="00F42446">
        <w:rPr>
          <w:lang w:eastAsia="en-US"/>
        </w:rPr>
        <w:t xml:space="preserve"> business</w:t>
      </w:r>
      <w:r w:rsidR="00D252AB">
        <w:rPr>
          <w:lang w:eastAsia="en-US"/>
        </w:rPr>
        <w:t xml:space="preserve"> transformation portfolios</w:t>
      </w:r>
      <w:r w:rsidRPr="00496008">
        <w:rPr>
          <w:lang w:eastAsia="en-US"/>
        </w:rPr>
        <w:t>.</w:t>
      </w:r>
    </w:p>
    <w:p w14:paraId="1BA43536" w14:textId="77777777" w:rsidR="0075418D" w:rsidRDefault="0075418D" w:rsidP="00C475E9">
      <w:pPr>
        <w:pStyle w:val="Heading3"/>
        <w:rPr>
          <w:lang w:eastAsia="en-US"/>
        </w:rPr>
      </w:pPr>
      <w:bookmarkStart w:id="6" w:name="_Toc522098875"/>
      <w:r>
        <w:rPr>
          <w:lang w:eastAsia="en-US"/>
        </w:rPr>
        <w:t>Reporting</w:t>
      </w:r>
      <w:bookmarkEnd w:id="6"/>
    </w:p>
    <w:p w14:paraId="059A1563" w14:textId="66FABC05" w:rsidR="0075418D" w:rsidRDefault="002E3F1F" w:rsidP="0075418D">
      <w:pPr>
        <w:rPr>
          <w:lang w:eastAsia="en-US"/>
        </w:rPr>
      </w:pPr>
      <w:r>
        <w:rPr>
          <w:lang w:eastAsia="en-US"/>
        </w:rPr>
        <w:t>Home Office m</w:t>
      </w:r>
      <w:r w:rsidR="0075418D">
        <w:rPr>
          <w:lang w:eastAsia="en-US"/>
        </w:rPr>
        <w:t xml:space="preserve">ajor </w:t>
      </w:r>
      <w:r>
        <w:rPr>
          <w:lang w:eastAsia="en-US"/>
        </w:rPr>
        <w:t>and mission c</w:t>
      </w:r>
      <w:r w:rsidR="007D48D9">
        <w:rPr>
          <w:lang w:eastAsia="en-US"/>
        </w:rPr>
        <w:t>ritica</w:t>
      </w:r>
      <w:r>
        <w:rPr>
          <w:lang w:eastAsia="en-US"/>
        </w:rPr>
        <w:t>l p</w:t>
      </w:r>
      <w:r w:rsidR="007D48D9">
        <w:rPr>
          <w:lang w:eastAsia="en-US"/>
        </w:rPr>
        <w:t>rogrammes</w:t>
      </w:r>
      <w:r w:rsidR="0075418D">
        <w:rPr>
          <w:lang w:eastAsia="en-US"/>
        </w:rPr>
        <w:t xml:space="preserve"> report monthly to PPD.  These are collated into a monthly portfolio report for PIC.  In addition</w:t>
      </w:r>
      <w:r w:rsidR="007D48D9">
        <w:rPr>
          <w:lang w:eastAsia="en-US"/>
        </w:rPr>
        <w:t>, Major Programmes</w:t>
      </w:r>
      <w:r w:rsidR="0075418D">
        <w:rPr>
          <w:lang w:eastAsia="en-US"/>
        </w:rPr>
        <w:t xml:space="preserve"> provide quarterly updates to the IPA, which feeds into the annual IPA report on the </w:t>
      </w:r>
      <w:r w:rsidR="00D252AB">
        <w:rPr>
          <w:lang w:eastAsia="en-US"/>
        </w:rPr>
        <w:t>G</w:t>
      </w:r>
      <w:r w:rsidR="0075418D">
        <w:rPr>
          <w:lang w:eastAsia="en-US"/>
        </w:rPr>
        <w:t xml:space="preserve">overnment </w:t>
      </w:r>
      <w:r w:rsidR="00D252AB">
        <w:rPr>
          <w:lang w:eastAsia="en-US"/>
        </w:rPr>
        <w:t>Major Projects P</w:t>
      </w:r>
      <w:r w:rsidR="0075418D">
        <w:rPr>
          <w:lang w:eastAsia="en-US"/>
        </w:rPr>
        <w:t>ortfolio</w:t>
      </w:r>
      <w:r w:rsidR="00D252AB">
        <w:rPr>
          <w:lang w:eastAsia="en-US"/>
        </w:rPr>
        <w:t xml:space="preserve"> (GMPP)</w:t>
      </w:r>
      <w:r w:rsidR="0075418D">
        <w:rPr>
          <w:lang w:eastAsia="en-US"/>
        </w:rPr>
        <w:t>.</w:t>
      </w:r>
    </w:p>
    <w:p w14:paraId="0333365C" w14:textId="24661914" w:rsidR="0075418D" w:rsidRDefault="00F42446" w:rsidP="0075418D">
      <w:pPr>
        <w:rPr>
          <w:lang w:eastAsia="en-US"/>
        </w:rPr>
      </w:pPr>
      <w:r>
        <w:rPr>
          <w:lang w:eastAsia="en-US"/>
        </w:rPr>
        <w:t xml:space="preserve">Business </w:t>
      </w:r>
      <w:r w:rsidR="00EC1726">
        <w:rPr>
          <w:lang w:eastAsia="en-US"/>
        </w:rPr>
        <w:t xml:space="preserve">Transformation Portfolios are required to update PIC regularly on progress.  Some of their programmes and projects area also subject to investment approval from PIC. </w:t>
      </w:r>
      <w:r w:rsidR="007D48D9">
        <w:rPr>
          <w:lang w:eastAsia="en-US"/>
        </w:rPr>
        <w:t xml:space="preserve"> </w:t>
      </w:r>
    </w:p>
    <w:p w14:paraId="5EB90E29" w14:textId="77777777" w:rsidR="00EC1726" w:rsidRPr="0075418D" w:rsidRDefault="00EC1726" w:rsidP="0075418D">
      <w:pPr>
        <w:rPr>
          <w:lang w:eastAsia="en-US"/>
        </w:rPr>
      </w:pPr>
      <w:r>
        <w:rPr>
          <w:lang w:eastAsia="en-US"/>
        </w:rPr>
        <w:t xml:space="preserve">Progress </w:t>
      </w:r>
      <w:r w:rsidR="006B34E0">
        <w:rPr>
          <w:lang w:eastAsia="en-US"/>
        </w:rPr>
        <w:t>in meeting agreed</w:t>
      </w:r>
      <w:r>
        <w:rPr>
          <w:lang w:eastAsia="en-US"/>
        </w:rPr>
        <w:t xml:space="preserve"> assurance recommendations is tr</w:t>
      </w:r>
      <w:r w:rsidR="007D48D9">
        <w:rPr>
          <w:lang w:eastAsia="en-US"/>
        </w:rPr>
        <w:t>acked through individual programme</w:t>
      </w:r>
      <w:r>
        <w:rPr>
          <w:lang w:eastAsia="en-US"/>
        </w:rPr>
        <w:t xml:space="preserve"> boards</w:t>
      </w:r>
      <w:r w:rsidR="006B34E0">
        <w:rPr>
          <w:lang w:eastAsia="en-US"/>
        </w:rPr>
        <w:t>.</w:t>
      </w:r>
      <w:r>
        <w:rPr>
          <w:lang w:eastAsia="en-US"/>
        </w:rPr>
        <w:t xml:space="preserve"> </w:t>
      </w:r>
      <w:r w:rsidR="006B34E0">
        <w:rPr>
          <w:lang w:eastAsia="en-US"/>
        </w:rPr>
        <w:t xml:space="preserve"> </w:t>
      </w:r>
      <w:r>
        <w:rPr>
          <w:lang w:eastAsia="en-US"/>
        </w:rPr>
        <w:t xml:space="preserve">PPD </w:t>
      </w:r>
      <w:r w:rsidR="006B34E0">
        <w:rPr>
          <w:lang w:eastAsia="en-US"/>
        </w:rPr>
        <w:t xml:space="preserve">also </w:t>
      </w:r>
      <w:r>
        <w:rPr>
          <w:lang w:eastAsia="en-US"/>
        </w:rPr>
        <w:t>collates</w:t>
      </w:r>
      <w:r w:rsidR="006B34E0">
        <w:rPr>
          <w:lang w:eastAsia="en-US"/>
        </w:rPr>
        <w:t xml:space="preserve">, monitors </w:t>
      </w:r>
      <w:r>
        <w:rPr>
          <w:lang w:eastAsia="en-US"/>
        </w:rPr>
        <w:t xml:space="preserve">and analyses all assurance recommendations.  The findings inform thematic </w:t>
      </w:r>
      <w:r w:rsidR="007D48D9">
        <w:rPr>
          <w:lang w:eastAsia="en-US"/>
        </w:rPr>
        <w:t xml:space="preserve">internal audits </w:t>
      </w:r>
      <w:r>
        <w:rPr>
          <w:lang w:eastAsia="en-US"/>
        </w:rPr>
        <w:t xml:space="preserve">and </w:t>
      </w:r>
      <w:r w:rsidR="007D48D9">
        <w:rPr>
          <w:lang w:eastAsia="en-US"/>
        </w:rPr>
        <w:t xml:space="preserve">direct the </w:t>
      </w:r>
      <w:r>
        <w:rPr>
          <w:lang w:eastAsia="en-US"/>
        </w:rPr>
        <w:t xml:space="preserve">support </w:t>
      </w:r>
      <w:r w:rsidR="006B34E0">
        <w:rPr>
          <w:lang w:eastAsia="en-US"/>
        </w:rPr>
        <w:t xml:space="preserve">provided </w:t>
      </w:r>
      <w:r>
        <w:rPr>
          <w:lang w:eastAsia="en-US"/>
        </w:rPr>
        <w:t xml:space="preserve">through the PPD capability team.  PPD also monitors progress against internal audit recommendations. </w:t>
      </w:r>
    </w:p>
    <w:p w14:paraId="7C611136" w14:textId="77777777" w:rsidR="00C119DB" w:rsidRDefault="00C119DB" w:rsidP="00C119DB">
      <w:pPr>
        <w:pStyle w:val="Heading1"/>
        <w:rPr>
          <w:lang w:eastAsia="en-US"/>
        </w:rPr>
      </w:pPr>
      <w:bookmarkStart w:id="7" w:name="_Toc522098876"/>
      <w:r>
        <w:rPr>
          <w:lang w:eastAsia="en-US"/>
        </w:rPr>
        <w:lastRenderedPageBreak/>
        <w:t>Integrated Assurance and Approval Plan (IAAP)</w:t>
      </w:r>
      <w:bookmarkEnd w:id="7"/>
    </w:p>
    <w:p w14:paraId="32DE3F0D" w14:textId="77777777" w:rsidR="00C119DB" w:rsidRPr="00A168C2" w:rsidRDefault="00C119DB" w:rsidP="00C119DB">
      <w:r w:rsidRPr="00496008">
        <w:rPr>
          <w:lang w:val="en" w:eastAsia="en-US"/>
        </w:rPr>
        <w:t>An I</w:t>
      </w:r>
      <w:r w:rsidR="00A168C2">
        <w:rPr>
          <w:lang w:val="en" w:eastAsia="en-US"/>
        </w:rPr>
        <w:t>AAP</w:t>
      </w:r>
      <w:r w:rsidRPr="00496008">
        <w:rPr>
          <w:lang w:val="en" w:eastAsia="en-US"/>
        </w:rPr>
        <w:t xml:space="preserve"> is designed to ensure that appropriate assurance </w:t>
      </w:r>
      <w:r w:rsidR="006B34E0">
        <w:rPr>
          <w:lang w:val="en" w:eastAsia="en-US"/>
        </w:rPr>
        <w:t xml:space="preserve">and approval </w:t>
      </w:r>
      <w:r w:rsidRPr="00496008">
        <w:rPr>
          <w:lang w:val="en" w:eastAsia="en-US"/>
        </w:rPr>
        <w:t>activities are effectively planned, scheduled, coordinated and that resources are secured in advance.</w:t>
      </w:r>
      <w:r w:rsidR="00A168C2">
        <w:rPr>
          <w:lang w:val="en" w:eastAsia="en-US"/>
        </w:rPr>
        <w:t xml:space="preserve">  </w:t>
      </w:r>
    </w:p>
    <w:p w14:paraId="1325A812" w14:textId="47208328" w:rsidR="00C119DB" w:rsidRPr="00C119DB" w:rsidRDefault="00C119DB" w:rsidP="00C119DB">
      <w:pPr>
        <w:rPr>
          <w:lang w:val="en" w:eastAsia="en-US"/>
        </w:rPr>
      </w:pPr>
      <w:r w:rsidRPr="00C119DB">
        <w:rPr>
          <w:lang w:val="en" w:eastAsia="en-US"/>
        </w:rPr>
        <w:t xml:space="preserve">The IAAP should initially be </w:t>
      </w:r>
      <w:r w:rsidR="00A168C2">
        <w:rPr>
          <w:lang w:val="en" w:eastAsia="en-US"/>
        </w:rPr>
        <w:t xml:space="preserve">developed at the outset of </w:t>
      </w:r>
      <w:r w:rsidR="006B34E0">
        <w:rPr>
          <w:lang w:val="en" w:eastAsia="en-US"/>
        </w:rPr>
        <w:t xml:space="preserve">a </w:t>
      </w:r>
      <w:r w:rsidR="002E3F1F">
        <w:rPr>
          <w:lang w:val="en" w:eastAsia="en-US"/>
        </w:rPr>
        <w:t>major p</w:t>
      </w:r>
      <w:r w:rsidR="00A168C2">
        <w:rPr>
          <w:lang w:val="en" w:eastAsia="en-US"/>
        </w:rPr>
        <w:t>rogramme</w:t>
      </w:r>
      <w:r w:rsidRPr="00C119DB">
        <w:rPr>
          <w:lang w:val="en" w:eastAsia="en-US"/>
        </w:rPr>
        <w:t xml:space="preserve">, alongside the Project Initiation Document (PID) or equivalent, and from then on should be integral to the overall </w:t>
      </w:r>
      <w:proofErr w:type="spellStart"/>
      <w:r w:rsidRPr="00C119DB">
        <w:rPr>
          <w:lang w:val="en" w:eastAsia="en-US"/>
        </w:rPr>
        <w:t>programme</w:t>
      </w:r>
      <w:proofErr w:type="spellEnd"/>
      <w:r w:rsidRPr="00C119DB">
        <w:rPr>
          <w:lang w:val="en" w:eastAsia="en-US"/>
        </w:rPr>
        <w:t xml:space="preserve"> or project plan. Ideally</w:t>
      </w:r>
      <w:r w:rsidR="006B34E0">
        <w:rPr>
          <w:lang w:val="en" w:eastAsia="en-US"/>
        </w:rPr>
        <w:t>,</w:t>
      </w:r>
      <w:r w:rsidRPr="00C119DB">
        <w:rPr>
          <w:lang w:val="en" w:eastAsia="en-US"/>
        </w:rPr>
        <w:t xml:space="preserve"> it should form part of the management section in the business case for the </w:t>
      </w:r>
      <w:proofErr w:type="spellStart"/>
      <w:r w:rsidRPr="00C119DB">
        <w:rPr>
          <w:lang w:val="en" w:eastAsia="en-US"/>
        </w:rPr>
        <w:t>programme</w:t>
      </w:r>
      <w:proofErr w:type="spellEnd"/>
      <w:r w:rsidRPr="00C119DB">
        <w:rPr>
          <w:lang w:val="en" w:eastAsia="en-US"/>
        </w:rPr>
        <w:t xml:space="preserve"> or project. </w:t>
      </w:r>
    </w:p>
    <w:p w14:paraId="26AD85EB" w14:textId="0855EACB" w:rsidR="00A168C2" w:rsidRPr="00A168C2" w:rsidRDefault="00A168C2" w:rsidP="00A168C2">
      <w:r>
        <w:rPr>
          <w:lang w:val="en" w:eastAsia="en-US"/>
        </w:rPr>
        <w:t xml:space="preserve">IAAPs are mandatory for Home Office </w:t>
      </w:r>
      <w:r w:rsidR="002E3F1F">
        <w:rPr>
          <w:lang w:val="en" w:eastAsia="en-US"/>
        </w:rPr>
        <w:t xml:space="preserve">major </w:t>
      </w:r>
      <w:proofErr w:type="spellStart"/>
      <w:r w:rsidR="002E3F1F">
        <w:rPr>
          <w:lang w:val="en" w:eastAsia="en-US"/>
        </w:rPr>
        <w:t>programmes</w:t>
      </w:r>
      <w:proofErr w:type="spellEnd"/>
      <w:r w:rsidR="002E3F1F">
        <w:rPr>
          <w:lang w:val="en" w:eastAsia="en-US"/>
        </w:rPr>
        <w:t xml:space="preserve"> </w:t>
      </w:r>
      <w:r>
        <w:rPr>
          <w:lang w:val="en" w:eastAsia="en-US"/>
        </w:rPr>
        <w:t>and c</w:t>
      </w:r>
      <w:proofErr w:type="spellStart"/>
      <w:r w:rsidRPr="00A168C2">
        <w:t>ompliance</w:t>
      </w:r>
      <w:proofErr w:type="spellEnd"/>
      <w:r w:rsidRPr="00A168C2">
        <w:t xml:space="preserve"> with the agreed IAAP will normally be a condition of </w:t>
      </w:r>
      <w:r w:rsidR="006B34E0">
        <w:t>HM</w:t>
      </w:r>
      <w:r w:rsidRPr="00A168C2">
        <w:t>T approval.</w:t>
      </w:r>
      <w:r>
        <w:rPr>
          <w:lang w:val="en" w:eastAsia="en-US"/>
        </w:rPr>
        <w:t xml:space="preserve">  I</w:t>
      </w:r>
      <w:r w:rsidRPr="00C119DB">
        <w:rPr>
          <w:lang w:val="en" w:eastAsia="en-US"/>
        </w:rPr>
        <w:t>t is particularly important that the initial IAAP is defined, and validated by the IPA and HMT</w:t>
      </w:r>
      <w:r w:rsidR="002E3F1F">
        <w:rPr>
          <w:lang w:val="en" w:eastAsia="en-US"/>
        </w:rPr>
        <w:t xml:space="preserve"> </w:t>
      </w:r>
      <w:r w:rsidRPr="00C119DB">
        <w:rPr>
          <w:lang w:val="en" w:eastAsia="en-US"/>
        </w:rPr>
        <w:t>in sufficient time for appropriate planned assurance to take place prior to submission of a Strategic Outline Business Case (SOBC) to HMT for approval.  IPA and HM</w:t>
      </w:r>
      <w:r w:rsidR="002E3F1F">
        <w:rPr>
          <w:lang w:val="en" w:eastAsia="en-US"/>
        </w:rPr>
        <w:t>T</w:t>
      </w:r>
      <w:r w:rsidRPr="00C119DB">
        <w:rPr>
          <w:lang w:val="en" w:eastAsia="en-US"/>
        </w:rPr>
        <w:t xml:space="preserve"> will jointly validate the IAAPs of the highest priority major projects, and will expect to have sight of the IAAPs for all other major projects within the GMPP.</w:t>
      </w:r>
      <w:r>
        <w:rPr>
          <w:lang w:val="en" w:eastAsia="en-US"/>
        </w:rPr>
        <w:t xml:space="preserve">  An updated IAAP is part of the quarterly reporting regime to IPA</w:t>
      </w:r>
      <w:r w:rsidRPr="00496008">
        <w:rPr>
          <w:lang w:val="en" w:eastAsia="en-US"/>
        </w:rPr>
        <w:t>.</w:t>
      </w:r>
    </w:p>
    <w:p w14:paraId="69F757DE" w14:textId="77777777" w:rsidR="00C119DB" w:rsidRDefault="00C119DB" w:rsidP="00C119DB">
      <w:pPr>
        <w:rPr>
          <w:lang w:val="en" w:eastAsia="en-US"/>
        </w:rPr>
      </w:pPr>
      <w:r w:rsidRPr="00C119DB">
        <w:rPr>
          <w:lang w:val="en" w:eastAsia="en-US"/>
        </w:rPr>
        <w:t xml:space="preserve">The IAAP should be periodically reviewed and updated, if appropriate, after each assurance review, change in scope or in </w:t>
      </w:r>
      <w:r w:rsidR="006B34E0">
        <w:rPr>
          <w:lang w:val="en" w:eastAsia="en-US"/>
        </w:rPr>
        <w:t xml:space="preserve">the </w:t>
      </w:r>
      <w:r w:rsidRPr="00C119DB">
        <w:rPr>
          <w:lang w:val="en" w:eastAsia="en-US"/>
        </w:rPr>
        <w:t>risk potential of the project. The IAAP should be maintained until the project is closed and delivery responsibility passes to the operational business.</w:t>
      </w:r>
    </w:p>
    <w:p w14:paraId="50F2D523" w14:textId="0303662F" w:rsidR="0038083C" w:rsidRDefault="0038083C" w:rsidP="00C119DB">
      <w:pPr>
        <w:rPr>
          <w:lang w:val="en" w:eastAsia="en-US"/>
        </w:rPr>
      </w:pPr>
      <w:r>
        <w:rPr>
          <w:lang w:val="en" w:eastAsia="en-US"/>
        </w:rPr>
        <w:t xml:space="preserve">While IAAPs are not mandated for Home </w:t>
      </w:r>
      <w:r w:rsidR="00A01EC4">
        <w:rPr>
          <w:lang w:val="en" w:eastAsia="en-US"/>
        </w:rPr>
        <w:t xml:space="preserve">Office </w:t>
      </w:r>
      <w:r w:rsidR="002E3F1F">
        <w:rPr>
          <w:lang w:val="en" w:eastAsia="en-US"/>
        </w:rPr>
        <w:t xml:space="preserve">mission critical and business transformation </w:t>
      </w:r>
      <w:proofErr w:type="spellStart"/>
      <w:r w:rsidR="002E3F1F">
        <w:rPr>
          <w:lang w:val="en" w:eastAsia="en-US"/>
        </w:rPr>
        <w:t>programmes</w:t>
      </w:r>
      <w:proofErr w:type="spellEnd"/>
      <w:r w:rsidR="002E3F1F">
        <w:rPr>
          <w:lang w:val="en" w:eastAsia="en-US"/>
        </w:rPr>
        <w:t xml:space="preserve"> and projects</w:t>
      </w:r>
      <w:r>
        <w:rPr>
          <w:lang w:val="en" w:eastAsia="en-US"/>
        </w:rPr>
        <w:t xml:space="preserve">, PPD recommends that </w:t>
      </w:r>
      <w:r w:rsidR="006B34E0">
        <w:rPr>
          <w:lang w:val="en" w:eastAsia="en-US"/>
        </w:rPr>
        <w:t xml:space="preserve">they should all create and maintain </w:t>
      </w:r>
      <w:r>
        <w:rPr>
          <w:lang w:val="en" w:eastAsia="en-US"/>
        </w:rPr>
        <w:t>IAAPs</w:t>
      </w:r>
      <w:r w:rsidR="006B34E0">
        <w:rPr>
          <w:lang w:val="en" w:eastAsia="en-US"/>
        </w:rPr>
        <w:t>.</w:t>
      </w:r>
      <w:r w:rsidR="00662A2B">
        <w:rPr>
          <w:lang w:val="en" w:eastAsia="en-US"/>
        </w:rPr>
        <w:t xml:space="preserve">  Please see </w:t>
      </w:r>
      <w:hyperlink w:anchor="_Annex_B_–" w:history="1">
        <w:r w:rsidR="00662A2B" w:rsidRPr="00F77586">
          <w:rPr>
            <w:rStyle w:val="Hyperlink"/>
            <w:lang w:val="en" w:eastAsia="en-US"/>
          </w:rPr>
          <w:t>Annex B</w:t>
        </w:r>
      </w:hyperlink>
      <w:r>
        <w:rPr>
          <w:lang w:val="en" w:eastAsia="en-US"/>
        </w:rPr>
        <w:t xml:space="preserve"> for a samp</w:t>
      </w:r>
      <w:r w:rsidR="00A168C2">
        <w:rPr>
          <w:lang w:val="en" w:eastAsia="en-US"/>
        </w:rPr>
        <w:t xml:space="preserve">le IAAP for Home Office </w:t>
      </w:r>
      <w:proofErr w:type="spellStart"/>
      <w:r w:rsidR="00A168C2">
        <w:rPr>
          <w:lang w:val="en" w:eastAsia="en-US"/>
        </w:rPr>
        <w:t>programmes</w:t>
      </w:r>
      <w:proofErr w:type="spellEnd"/>
      <w:r w:rsidR="00A01EC4">
        <w:rPr>
          <w:lang w:val="en" w:eastAsia="en-US"/>
        </w:rPr>
        <w:t>.</w:t>
      </w:r>
    </w:p>
    <w:p w14:paraId="572F289B" w14:textId="7F4656F8" w:rsidR="00AD1BD9" w:rsidRPr="00C119DB" w:rsidRDefault="00AD1BD9" w:rsidP="00C119DB">
      <w:pPr>
        <w:rPr>
          <w:lang w:val="en" w:eastAsia="en-US"/>
        </w:rPr>
      </w:pPr>
      <w:r>
        <w:rPr>
          <w:lang w:val="en" w:eastAsia="en-US"/>
        </w:rPr>
        <w:t>PPD collates assurance and approval information into a portfolio IAAP, which is made available to other assurance providers regularly.</w:t>
      </w:r>
    </w:p>
    <w:p w14:paraId="0EE7725D" w14:textId="6D9F76F9" w:rsidR="00E76847" w:rsidRDefault="002E3F1F" w:rsidP="00C119DB">
      <w:pPr>
        <w:pStyle w:val="Heading1"/>
        <w:rPr>
          <w:lang w:eastAsia="en-US"/>
        </w:rPr>
      </w:pPr>
      <w:bookmarkStart w:id="8" w:name="_Toc522098877"/>
      <w:r>
        <w:rPr>
          <w:lang w:eastAsia="en-US"/>
        </w:rPr>
        <w:lastRenderedPageBreak/>
        <w:t>1</w:t>
      </w:r>
      <w:r w:rsidRPr="002E3F1F">
        <w:rPr>
          <w:vertAlign w:val="superscript"/>
          <w:lang w:eastAsia="en-US"/>
        </w:rPr>
        <w:t>st</w:t>
      </w:r>
      <w:r>
        <w:rPr>
          <w:lang w:eastAsia="en-US"/>
        </w:rPr>
        <w:t xml:space="preserve"> </w:t>
      </w:r>
      <w:r w:rsidR="00E50610">
        <w:rPr>
          <w:lang w:eastAsia="en-US"/>
        </w:rPr>
        <w:t>Line of Assurance</w:t>
      </w:r>
      <w:bookmarkEnd w:id="8"/>
    </w:p>
    <w:p w14:paraId="601B1AAC" w14:textId="3D4682EF" w:rsidR="00E50610" w:rsidRPr="00E50610" w:rsidRDefault="002E3F1F" w:rsidP="00E50610">
      <w:pPr>
        <w:rPr>
          <w:lang w:eastAsia="en-US"/>
        </w:rPr>
      </w:pPr>
      <w:r>
        <w:rPr>
          <w:lang w:eastAsia="en-US"/>
        </w:rPr>
        <w:t>1</w:t>
      </w:r>
      <w:r w:rsidRPr="002E3F1F">
        <w:rPr>
          <w:vertAlign w:val="superscript"/>
          <w:lang w:eastAsia="en-US"/>
        </w:rPr>
        <w:t>st</w:t>
      </w:r>
      <w:r>
        <w:rPr>
          <w:lang w:eastAsia="en-US"/>
        </w:rPr>
        <w:t xml:space="preserve"> </w:t>
      </w:r>
      <w:r w:rsidR="00A01EC4">
        <w:rPr>
          <w:lang w:eastAsia="en-US"/>
        </w:rPr>
        <w:t xml:space="preserve">line of assurance is the responsibility of the </w:t>
      </w:r>
      <w:r w:rsidR="006B34E0">
        <w:rPr>
          <w:lang w:eastAsia="en-US"/>
        </w:rPr>
        <w:t xml:space="preserve">individual </w:t>
      </w:r>
      <w:r w:rsidR="00A01EC4">
        <w:rPr>
          <w:lang w:eastAsia="en-US"/>
        </w:rPr>
        <w:t>programme</w:t>
      </w:r>
      <w:r w:rsidR="006B34E0">
        <w:rPr>
          <w:lang w:eastAsia="en-US"/>
        </w:rPr>
        <w:t xml:space="preserve"> or project</w:t>
      </w:r>
      <w:r w:rsidR="00A01EC4">
        <w:rPr>
          <w:lang w:eastAsia="en-US"/>
        </w:rPr>
        <w:t xml:space="preserve">.  </w:t>
      </w:r>
      <w:r w:rsidR="00E50610" w:rsidRPr="00E50610">
        <w:rPr>
          <w:lang w:eastAsia="en-US"/>
        </w:rPr>
        <w:t>Business cases provide the overarching structure for programmes/projects and their approval.</w:t>
      </w:r>
      <w:r w:rsidR="00160F8A">
        <w:rPr>
          <w:lang w:eastAsia="en-US"/>
        </w:rPr>
        <w:t xml:space="preserve">  PPD expects programmes and projects to comply with the IPA Functional Standard for Project Delivery.  </w:t>
      </w:r>
      <w:r w:rsidR="00A01EC4">
        <w:rPr>
          <w:lang w:eastAsia="en-US"/>
        </w:rPr>
        <w:t xml:space="preserve">The </w:t>
      </w:r>
      <w:r w:rsidR="00E50610" w:rsidRPr="00E50610">
        <w:rPr>
          <w:lang w:eastAsia="en-US"/>
        </w:rPr>
        <w:t xml:space="preserve">SRO is responsible for ensuring </w:t>
      </w:r>
      <w:r w:rsidR="006B34E0">
        <w:rPr>
          <w:lang w:eastAsia="en-US"/>
        </w:rPr>
        <w:t xml:space="preserve">that their </w:t>
      </w:r>
      <w:r w:rsidR="00E50610" w:rsidRPr="00E50610">
        <w:rPr>
          <w:lang w:eastAsia="en-US"/>
        </w:rPr>
        <w:t xml:space="preserve">programme </w:t>
      </w:r>
      <w:r w:rsidR="006B34E0">
        <w:rPr>
          <w:lang w:eastAsia="en-US"/>
        </w:rPr>
        <w:t xml:space="preserve">or project </w:t>
      </w:r>
      <w:r w:rsidR="00E50610" w:rsidRPr="00E50610">
        <w:rPr>
          <w:lang w:eastAsia="en-US"/>
        </w:rPr>
        <w:t>remains within set tolerances and</w:t>
      </w:r>
      <w:r w:rsidR="006B34E0">
        <w:rPr>
          <w:lang w:eastAsia="en-US"/>
        </w:rPr>
        <w:t>, if subject to PIC approval,</w:t>
      </w:r>
      <w:r w:rsidR="00E50610" w:rsidRPr="00E50610">
        <w:rPr>
          <w:lang w:eastAsia="en-US"/>
        </w:rPr>
        <w:t xml:space="preserve"> reporting back to PIC whe</w:t>
      </w:r>
      <w:r w:rsidR="006B34E0">
        <w:rPr>
          <w:lang w:eastAsia="en-US"/>
        </w:rPr>
        <w:t>n</w:t>
      </w:r>
      <w:r w:rsidR="00E50610" w:rsidRPr="00E50610">
        <w:rPr>
          <w:lang w:eastAsia="en-US"/>
        </w:rPr>
        <w:t xml:space="preserve"> not.</w:t>
      </w:r>
      <w:r w:rsidR="0090165C">
        <w:rPr>
          <w:lang w:eastAsia="en-US"/>
        </w:rPr>
        <w:t xml:space="preserve">  Please see </w:t>
      </w:r>
      <w:hyperlink w:anchor="_Annex_C_-" w:history="1">
        <w:r w:rsidR="0090165C" w:rsidRPr="00F77586">
          <w:rPr>
            <w:rStyle w:val="Hyperlink"/>
            <w:lang w:eastAsia="en-US"/>
          </w:rPr>
          <w:t>Annex C</w:t>
        </w:r>
      </w:hyperlink>
      <w:r w:rsidR="00E50610" w:rsidRPr="00E50610">
        <w:rPr>
          <w:lang w:eastAsia="en-US"/>
        </w:rPr>
        <w:t xml:space="preserve"> </w:t>
      </w:r>
      <w:r w:rsidR="0090165C">
        <w:rPr>
          <w:lang w:eastAsia="en-US"/>
        </w:rPr>
        <w:t xml:space="preserve">for further information on roles and responsibilities. </w:t>
      </w:r>
    </w:p>
    <w:p w14:paraId="0ADB1DDE" w14:textId="77777777" w:rsidR="00E50610" w:rsidRPr="00E50610" w:rsidRDefault="006B34E0" w:rsidP="00E50610">
      <w:pPr>
        <w:rPr>
          <w:lang w:eastAsia="en-US"/>
        </w:rPr>
      </w:pPr>
      <w:r>
        <w:rPr>
          <w:lang w:eastAsia="en-US"/>
        </w:rPr>
        <w:t>P</w:t>
      </w:r>
      <w:r w:rsidR="00E50610" w:rsidRPr="00E50610">
        <w:rPr>
          <w:lang w:eastAsia="en-US"/>
        </w:rPr>
        <w:t xml:space="preserve">rogramme </w:t>
      </w:r>
      <w:r>
        <w:rPr>
          <w:lang w:eastAsia="en-US"/>
        </w:rPr>
        <w:t xml:space="preserve">and project </w:t>
      </w:r>
      <w:r w:rsidR="00E50610" w:rsidRPr="00E50610">
        <w:rPr>
          <w:lang w:eastAsia="en-US"/>
        </w:rPr>
        <w:t xml:space="preserve">boards </w:t>
      </w:r>
      <w:r>
        <w:rPr>
          <w:lang w:eastAsia="en-US"/>
        </w:rPr>
        <w:t xml:space="preserve">usually </w:t>
      </w:r>
      <w:r w:rsidR="00E50610" w:rsidRPr="00E50610">
        <w:rPr>
          <w:lang w:eastAsia="en-US"/>
        </w:rPr>
        <w:t xml:space="preserve">meet monthly to review progress, spend, resourcing, risks and issues, agree action to be taken </w:t>
      </w:r>
      <w:r>
        <w:rPr>
          <w:lang w:eastAsia="en-US"/>
        </w:rPr>
        <w:t>and the</w:t>
      </w:r>
      <w:r w:rsidR="00E50610" w:rsidRPr="00E50610">
        <w:rPr>
          <w:lang w:eastAsia="en-US"/>
        </w:rPr>
        <w:t xml:space="preserve"> latest view of delivery confidence</w:t>
      </w:r>
      <w:r w:rsidR="00623B81">
        <w:rPr>
          <w:lang w:eastAsia="en-US"/>
        </w:rPr>
        <w:t xml:space="preserve">. </w:t>
      </w:r>
    </w:p>
    <w:p w14:paraId="131577E9" w14:textId="3E7A0D46" w:rsidR="00E50610" w:rsidRPr="00E50610" w:rsidRDefault="00E50610" w:rsidP="00E50610">
      <w:pPr>
        <w:rPr>
          <w:lang w:eastAsia="en-US"/>
        </w:rPr>
      </w:pPr>
      <w:r w:rsidRPr="00E50610">
        <w:rPr>
          <w:lang w:eastAsia="en-US"/>
        </w:rPr>
        <w:t xml:space="preserve">Monthly programme </w:t>
      </w:r>
      <w:r w:rsidR="006B34E0">
        <w:rPr>
          <w:lang w:eastAsia="en-US"/>
        </w:rPr>
        <w:t xml:space="preserve">or project </w:t>
      </w:r>
      <w:r w:rsidRPr="00E50610">
        <w:rPr>
          <w:lang w:eastAsia="en-US"/>
        </w:rPr>
        <w:t xml:space="preserve">reporting to portfolio level </w:t>
      </w:r>
      <w:r w:rsidR="003651A9">
        <w:rPr>
          <w:lang w:eastAsia="en-US"/>
        </w:rPr>
        <w:t xml:space="preserve">will </w:t>
      </w:r>
      <w:r w:rsidRPr="00E50610">
        <w:rPr>
          <w:lang w:eastAsia="en-US"/>
        </w:rPr>
        <w:t xml:space="preserve">set out </w:t>
      </w:r>
      <w:r w:rsidR="003651A9">
        <w:rPr>
          <w:lang w:eastAsia="en-US"/>
        </w:rPr>
        <w:t xml:space="preserve">the </w:t>
      </w:r>
      <w:r w:rsidRPr="00E50610">
        <w:rPr>
          <w:lang w:eastAsia="en-US"/>
        </w:rPr>
        <w:t>latest view of time, cost, scope, benefits and capability, and flagging risks and issues to delivery</w:t>
      </w:r>
      <w:r w:rsidR="00A01EC4">
        <w:rPr>
          <w:lang w:eastAsia="en-US"/>
        </w:rPr>
        <w:t xml:space="preserve">.  </w:t>
      </w:r>
    </w:p>
    <w:p w14:paraId="39A5EA34" w14:textId="3968AFEA" w:rsidR="00E50610" w:rsidRPr="00E50610" w:rsidRDefault="003651A9" w:rsidP="00E50610">
      <w:pPr>
        <w:rPr>
          <w:lang w:eastAsia="en-US"/>
        </w:rPr>
      </w:pPr>
      <w:r>
        <w:rPr>
          <w:lang w:eastAsia="en-US"/>
        </w:rPr>
        <w:t>Programmes or p</w:t>
      </w:r>
      <w:r w:rsidR="00A01EC4">
        <w:rPr>
          <w:lang w:eastAsia="en-US"/>
        </w:rPr>
        <w:t xml:space="preserve">rojects should work with their local business design authority and technical design authority to assure strategic fit, process and technical design.  </w:t>
      </w:r>
      <w:r>
        <w:rPr>
          <w:lang w:eastAsia="en-US"/>
        </w:rPr>
        <w:t xml:space="preserve">They </w:t>
      </w:r>
      <w:r w:rsidR="00623B81">
        <w:rPr>
          <w:lang w:eastAsia="en-US"/>
        </w:rPr>
        <w:t xml:space="preserve">should also consider other areas of </w:t>
      </w:r>
      <w:r w:rsidR="00A168C2">
        <w:rPr>
          <w:lang w:eastAsia="en-US"/>
        </w:rPr>
        <w:t>f</w:t>
      </w:r>
      <w:r w:rsidR="00623B81" w:rsidRPr="00623B81">
        <w:rPr>
          <w:lang w:eastAsia="en-US"/>
        </w:rPr>
        <w:t xml:space="preserve">unctional assurance, e.g. technical, </w:t>
      </w:r>
      <w:r w:rsidR="006B34E0">
        <w:rPr>
          <w:lang w:eastAsia="en-US"/>
        </w:rPr>
        <w:t>h</w:t>
      </w:r>
      <w:r w:rsidR="00623B81" w:rsidRPr="00623B81">
        <w:rPr>
          <w:lang w:eastAsia="en-US"/>
        </w:rPr>
        <w:t xml:space="preserve">ealth </w:t>
      </w:r>
      <w:r w:rsidR="006B34E0">
        <w:rPr>
          <w:lang w:eastAsia="en-US"/>
        </w:rPr>
        <w:t>and</w:t>
      </w:r>
      <w:r w:rsidR="00623B81" w:rsidRPr="00623B81">
        <w:rPr>
          <w:lang w:eastAsia="en-US"/>
        </w:rPr>
        <w:t xml:space="preserve"> </w:t>
      </w:r>
      <w:r w:rsidR="006B34E0">
        <w:rPr>
          <w:lang w:eastAsia="en-US"/>
        </w:rPr>
        <w:t>s</w:t>
      </w:r>
      <w:r w:rsidR="00623B81" w:rsidRPr="00623B81">
        <w:rPr>
          <w:lang w:eastAsia="en-US"/>
        </w:rPr>
        <w:t>afety, quality, data security, information, regu</w:t>
      </w:r>
      <w:r w:rsidR="00623B81">
        <w:rPr>
          <w:lang w:eastAsia="en-US"/>
        </w:rPr>
        <w:t>latory, construction, financial and</w:t>
      </w:r>
      <w:r w:rsidR="00623B81" w:rsidRPr="00623B81">
        <w:rPr>
          <w:lang w:eastAsia="en-US"/>
        </w:rPr>
        <w:t xml:space="preserve"> due diligence</w:t>
      </w:r>
      <w:r w:rsidR="00623B81">
        <w:rPr>
          <w:lang w:eastAsia="en-US"/>
        </w:rPr>
        <w:t>.</w:t>
      </w:r>
    </w:p>
    <w:p w14:paraId="2D16AE73" w14:textId="4943FCFD" w:rsidR="00385DDD" w:rsidRDefault="002E3F1F" w:rsidP="00C119DB">
      <w:pPr>
        <w:pStyle w:val="Heading1"/>
        <w:rPr>
          <w:lang w:eastAsia="en-US"/>
        </w:rPr>
      </w:pPr>
      <w:bookmarkStart w:id="9" w:name="_Toc522098878"/>
      <w:r>
        <w:rPr>
          <w:lang w:eastAsia="en-US"/>
        </w:rPr>
        <w:lastRenderedPageBreak/>
        <w:t>2</w:t>
      </w:r>
      <w:r w:rsidRPr="00DC4A12">
        <w:rPr>
          <w:vertAlign w:val="superscript"/>
          <w:lang w:eastAsia="en-US"/>
        </w:rPr>
        <w:t>nd</w:t>
      </w:r>
      <w:r w:rsidR="00DC4A12">
        <w:rPr>
          <w:lang w:eastAsia="en-US"/>
        </w:rPr>
        <w:t xml:space="preserve"> </w:t>
      </w:r>
      <w:r w:rsidR="00A01EC4">
        <w:rPr>
          <w:lang w:eastAsia="en-US"/>
        </w:rPr>
        <w:t xml:space="preserve">Line of </w:t>
      </w:r>
      <w:r w:rsidR="00385DDD">
        <w:rPr>
          <w:lang w:eastAsia="en-US"/>
        </w:rPr>
        <w:t xml:space="preserve">Assurance </w:t>
      </w:r>
      <w:r w:rsidR="00A01EC4">
        <w:rPr>
          <w:lang w:eastAsia="en-US"/>
        </w:rPr>
        <w:t xml:space="preserve">- </w:t>
      </w:r>
      <w:r w:rsidR="00385DDD">
        <w:rPr>
          <w:lang w:eastAsia="en-US"/>
        </w:rPr>
        <w:t>Interventions</w:t>
      </w:r>
      <w:bookmarkEnd w:id="9"/>
    </w:p>
    <w:p w14:paraId="5A2F3849" w14:textId="7D59FA11" w:rsidR="00385DDD" w:rsidRDefault="00385DDD" w:rsidP="00385DDD">
      <w:pPr>
        <w:rPr>
          <w:lang w:eastAsia="en-US"/>
        </w:rPr>
      </w:pPr>
      <w:r>
        <w:rPr>
          <w:lang w:eastAsia="en-US"/>
        </w:rPr>
        <w:t>The aim of proje</w:t>
      </w:r>
      <w:r w:rsidR="00A168C2">
        <w:rPr>
          <w:lang w:eastAsia="en-US"/>
        </w:rPr>
        <w:t xml:space="preserve">ct assurance reviews is to test </w:t>
      </w:r>
      <w:r>
        <w:rPr>
          <w:lang w:eastAsia="en-US"/>
        </w:rPr>
        <w:t xml:space="preserve">whether a </w:t>
      </w:r>
      <w:r w:rsidR="003651A9" w:rsidRPr="00160F8A">
        <w:rPr>
          <w:lang w:eastAsia="en-US"/>
        </w:rPr>
        <w:t>programm</w:t>
      </w:r>
      <w:r w:rsidR="00160F8A" w:rsidRPr="00160F8A">
        <w:rPr>
          <w:lang w:eastAsia="en-US"/>
        </w:rPr>
        <w:t>e</w:t>
      </w:r>
      <w:r w:rsidR="003651A9">
        <w:rPr>
          <w:lang w:eastAsia="en-US"/>
        </w:rPr>
        <w:t xml:space="preserve"> or </w:t>
      </w:r>
      <w:r>
        <w:rPr>
          <w:lang w:eastAsia="en-US"/>
        </w:rPr>
        <w:t>project is delivering to agreed time, cost and quality.</w:t>
      </w:r>
      <w:r w:rsidR="00A168C2">
        <w:rPr>
          <w:lang w:eastAsia="en-US"/>
        </w:rPr>
        <w:t xml:space="preserve"> </w:t>
      </w:r>
      <w:r>
        <w:rPr>
          <w:lang w:eastAsia="en-US"/>
        </w:rPr>
        <w:t xml:space="preserve"> Other assurance activities can focus on narrower elements of a </w:t>
      </w:r>
      <w:r w:rsidR="003651A9">
        <w:rPr>
          <w:lang w:eastAsia="en-US"/>
        </w:rPr>
        <w:t xml:space="preserve">programme or </w:t>
      </w:r>
      <w:r>
        <w:rPr>
          <w:lang w:eastAsia="en-US"/>
        </w:rPr>
        <w:t>project’s work, for example, risk management or stakeholder engagement.</w:t>
      </w:r>
    </w:p>
    <w:p w14:paraId="608F1F6F" w14:textId="72B4924E" w:rsidR="003651A9" w:rsidRDefault="003651A9" w:rsidP="00385DDD">
      <w:pPr>
        <w:rPr>
          <w:lang w:eastAsia="en-US"/>
        </w:rPr>
      </w:pPr>
      <w:r>
        <w:rPr>
          <w:lang w:eastAsia="en-US"/>
        </w:rPr>
        <w:t>The Home Office approach to assurance is detailed in the Home Office assuranc</w:t>
      </w:r>
      <w:r w:rsidR="00F753BE">
        <w:rPr>
          <w:lang w:eastAsia="en-US"/>
        </w:rPr>
        <w:t>e framework which includes the G</w:t>
      </w:r>
      <w:r>
        <w:rPr>
          <w:lang w:eastAsia="en-US"/>
        </w:rPr>
        <w:t xml:space="preserve">ateway assurance process as well as </w:t>
      </w:r>
      <w:r w:rsidRPr="00DC4A12">
        <w:rPr>
          <w:lang w:eastAsia="en-US"/>
        </w:rPr>
        <w:t>a toolkit for assurance interventions</w:t>
      </w:r>
      <w:r>
        <w:rPr>
          <w:lang w:eastAsia="en-US"/>
        </w:rPr>
        <w:t xml:space="preserve">. </w:t>
      </w:r>
      <w:r w:rsidR="00972BCD">
        <w:rPr>
          <w:lang w:eastAsia="en-US"/>
        </w:rPr>
        <w:t xml:space="preserve"> </w:t>
      </w:r>
      <w:r>
        <w:rPr>
          <w:lang w:eastAsia="en-US"/>
        </w:rPr>
        <w:t>This includes guidance for assurance of agile projects.</w:t>
      </w:r>
    </w:p>
    <w:p w14:paraId="6DB5DA23" w14:textId="431B034C" w:rsidR="003651A9" w:rsidRDefault="003651A9" w:rsidP="003651A9">
      <w:pPr>
        <w:rPr>
          <w:lang w:eastAsia="en-US"/>
        </w:rPr>
      </w:pPr>
      <w:r>
        <w:rPr>
          <w:lang w:eastAsia="en-US"/>
        </w:rPr>
        <w:t xml:space="preserve">The </w:t>
      </w:r>
      <w:hyperlink r:id="rId20" w:history="1">
        <w:r w:rsidR="00F753BE">
          <w:rPr>
            <w:rStyle w:val="Hyperlink"/>
            <w:lang w:eastAsia="en-US"/>
          </w:rPr>
          <w:t>G</w:t>
        </w:r>
        <w:r w:rsidRPr="00EC1726">
          <w:rPr>
            <w:rStyle w:val="Hyperlink"/>
            <w:lang w:eastAsia="en-US"/>
          </w:rPr>
          <w:t>ateway process</w:t>
        </w:r>
      </w:hyperlink>
      <w:r>
        <w:rPr>
          <w:lang w:eastAsia="en-US"/>
        </w:rPr>
        <w:t xml:space="preserve"> is owned by the IPA.  The </w:t>
      </w:r>
      <w:r w:rsidR="00F753BE">
        <w:rPr>
          <w:lang w:eastAsia="en-US"/>
        </w:rPr>
        <w:t>graphic overleaf shows how the G</w:t>
      </w:r>
      <w:r>
        <w:rPr>
          <w:lang w:eastAsia="en-US"/>
        </w:rPr>
        <w:t xml:space="preserve">ateway assurance process maps against the investment approval process.  </w:t>
      </w:r>
    </w:p>
    <w:p w14:paraId="36FD419A" w14:textId="51C6D7EC" w:rsidR="00385DDD" w:rsidRDefault="00DC4A12" w:rsidP="003651A9">
      <w:pPr>
        <w:pStyle w:val="Heading4"/>
        <w:ind w:left="0"/>
        <w:rPr>
          <w:lang w:eastAsia="en-US"/>
        </w:rPr>
      </w:pPr>
      <w:bookmarkStart w:id="10" w:name="_Toc522098879"/>
      <w:r>
        <w:rPr>
          <w:lang w:eastAsia="en-US"/>
        </w:rPr>
        <w:t>G</w:t>
      </w:r>
      <w:r w:rsidR="00385DDD">
        <w:rPr>
          <w:lang w:eastAsia="en-US"/>
        </w:rPr>
        <w:t>ateway Assurance</w:t>
      </w:r>
      <w:bookmarkEnd w:id="10"/>
    </w:p>
    <w:p w14:paraId="2CCA914E" w14:textId="1A903A0F" w:rsidR="00385DDD" w:rsidRDefault="00623B81" w:rsidP="00385DDD">
      <w:pPr>
        <w:rPr>
          <w:lang w:eastAsia="en-US"/>
        </w:rPr>
      </w:pPr>
      <w:r>
        <w:rPr>
          <w:lang w:eastAsia="en-US"/>
        </w:rPr>
        <w:t xml:space="preserve">The SRO uses the </w:t>
      </w:r>
      <w:hyperlink r:id="rId21" w:history="1">
        <w:r w:rsidRPr="00623B81">
          <w:rPr>
            <w:rStyle w:val="Hyperlink"/>
            <w:lang w:eastAsia="en-US"/>
          </w:rPr>
          <w:t>risk potential assessment</w:t>
        </w:r>
      </w:hyperlink>
      <w:r>
        <w:rPr>
          <w:lang w:eastAsia="en-US"/>
        </w:rPr>
        <w:t xml:space="preserve"> </w:t>
      </w:r>
      <w:r w:rsidR="001D3C6D">
        <w:rPr>
          <w:lang w:eastAsia="en-US"/>
        </w:rPr>
        <w:t xml:space="preserve">(RPA) </w:t>
      </w:r>
      <w:r>
        <w:rPr>
          <w:lang w:eastAsia="en-US"/>
        </w:rPr>
        <w:t>to determine the level of risk associated with the</w:t>
      </w:r>
      <w:r w:rsidR="00972BCD">
        <w:rPr>
          <w:lang w:eastAsia="en-US"/>
        </w:rPr>
        <w:t>ir</w:t>
      </w:r>
      <w:r>
        <w:rPr>
          <w:lang w:eastAsia="en-US"/>
        </w:rPr>
        <w:t xml:space="preserve"> </w:t>
      </w:r>
      <w:r w:rsidR="00972BCD">
        <w:rPr>
          <w:lang w:eastAsia="en-US"/>
        </w:rPr>
        <w:t xml:space="preserve">programme or </w:t>
      </w:r>
      <w:r>
        <w:rPr>
          <w:lang w:eastAsia="en-US"/>
        </w:rPr>
        <w:t xml:space="preserve">project. </w:t>
      </w:r>
      <w:r w:rsidR="00972BCD">
        <w:rPr>
          <w:lang w:eastAsia="en-US"/>
        </w:rPr>
        <w:t xml:space="preserve"> </w:t>
      </w:r>
      <w:r>
        <w:rPr>
          <w:lang w:eastAsia="en-US"/>
        </w:rPr>
        <w:t xml:space="preserve">Once the </w:t>
      </w:r>
      <w:r w:rsidR="00972BCD">
        <w:rPr>
          <w:lang w:eastAsia="en-US"/>
        </w:rPr>
        <w:t xml:space="preserve">programme or </w:t>
      </w:r>
      <w:r>
        <w:rPr>
          <w:lang w:eastAsia="en-US"/>
        </w:rPr>
        <w:t xml:space="preserve">project brief has been agreed, a first </w:t>
      </w:r>
      <w:r w:rsidR="001D3C6D">
        <w:rPr>
          <w:lang w:eastAsia="en-US"/>
        </w:rPr>
        <w:t>RPA</w:t>
      </w:r>
      <w:r>
        <w:rPr>
          <w:lang w:eastAsia="en-US"/>
        </w:rPr>
        <w:t xml:space="preserve"> should be completed and forwarded.  This will form the basis of an assurance review. </w:t>
      </w:r>
      <w:r w:rsidR="001D3C6D">
        <w:rPr>
          <w:lang w:eastAsia="en-US"/>
        </w:rPr>
        <w:t xml:space="preserve"> Before a new m</w:t>
      </w:r>
      <w:r w:rsidR="00385DDD">
        <w:rPr>
          <w:lang w:eastAsia="en-US"/>
        </w:rPr>
        <w:t xml:space="preserve">ajor </w:t>
      </w:r>
      <w:r w:rsidR="00972BCD">
        <w:rPr>
          <w:lang w:eastAsia="en-US"/>
        </w:rPr>
        <w:t xml:space="preserve">programme or </w:t>
      </w:r>
      <w:r w:rsidR="00385DDD">
        <w:rPr>
          <w:lang w:eastAsia="en-US"/>
        </w:rPr>
        <w:t>project gets prope</w:t>
      </w:r>
      <w:r w:rsidR="001D3C6D">
        <w:rPr>
          <w:lang w:eastAsia="en-US"/>
        </w:rPr>
        <w:t>rly underway</w:t>
      </w:r>
      <w:r w:rsidR="00972BCD">
        <w:rPr>
          <w:lang w:eastAsia="en-US"/>
        </w:rPr>
        <w:t>,</w:t>
      </w:r>
      <w:r w:rsidR="001D3C6D">
        <w:rPr>
          <w:lang w:eastAsia="en-US"/>
        </w:rPr>
        <w:t xml:space="preserve"> a starting gate (G</w:t>
      </w:r>
      <w:r w:rsidR="00385DDD">
        <w:rPr>
          <w:lang w:eastAsia="en-US"/>
        </w:rPr>
        <w:t>a</w:t>
      </w:r>
      <w:r w:rsidR="001D3C6D">
        <w:rPr>
          <w:lang w:eastAsia="en-US"/>
        </w:rPr>
        <w:t xml:space="preserve">te 0) or </w:t>
      </w:r>
      <w:r w:rsidR="00A01EC4">
        <w:rPr>
          <w:lang w:eastAsia="en-US"/>
        </w:rPr>
        <w:t>project validation review</w:t>
      </w:r>
      <w:r w:rsidR="001D3C6D">
        <w:rPr>
          <w:lang w:eastAsia="en-US"/>
        </w:rPr>
        <w:t xml:space="preserve"> (PVR)</w:t>
      </w:r>
      <w:r w:rsidR="00A01EC4">
        <w:rPr>
          <w:lang w:eastAsia="en-US"/>
        </w:rPr>
        <w:t xml:space="preserve"> </w:t>
      </w:r>
      <w:r w:rsidR="00385DDD">
        <w:rPr>
          <w:lang w:eastAsia="en-US"/>
        </w:rPr>
        <w:t xml:space="preserve">helps to identify practical delivery issues and risks much earlier in the policy-to-delivery lifecycle and helps prevent common causes of project failure. For </w:t>
      </w:r>
      <w:r w:rsidR="001D3C6D">
        <w:rPr>
          <w:lang w:eastAsia="en-US"/>
        </w:rPr>
        <w:t>GMPP projects</w:t>
      </w:r>
      <w:r w:rsidR="00385DDD">
        <w:rPr>
          <w:lang w:eastAsia="en-US"/>
        </w:rPr>
        <w:t>, starting gates are replace</w:t>
      </w:r>
      <w:r w:rsidR="00A01EC4">
        <w:rPr>
          <w:lang w:eastAsia="en-US"/>
        </w:rPr>
        <w:t xml:space="preserve">d by </w:t>
      </w:r>
      <w:r w:rsidR="001D3C6D">
        <w:rPr>
          <w:lang w:eastAsia="en-US"/>
        </w:rPr>
        <w:t>PVRs</w:t>
      </w:r>
      <w:r w:rsidR="00A01EC4">
        <w:rPr>
          <w:lang w:eastAsia="en-US"/>
        </w:rPr>
        <w:t xml:space="preserve"> </w:t>
      </w:r>
      <w:r w:rsidR="00385DDD">
        <w:rPr>
          <w:lang w:eastAsia="en-US"/>
        </w:rPr>
        <w:t xml:space="preserve">which are a mandatory, </w:t>
      </w:r>
      <w:r w:rsidR="00385D78" w:rsidRPr="00385D78">
        <w:rPr>
          <w:noProof/>
        </w:rPr>
        <w:drawing>
          <wp:anchor distT="0" distB="0" distL="114300" distR="114300" simplePos="0" relativeHeight="251666432" behindDoc="1" locked="0" layoutInCell="1" allowOverlap="1" wp14:anchorId="40DC81EB" wp14:editId="42D41916">
            <wp:simplePos x="0" y="0"/>
            <wp:positionH relativeFrom="column">
              <wp:posOffset>2344329</wp:posOffset>
            </wp:positionH>
            <wp:positionV relativeFrom="paragraph">
              <wp:posOffset>0</wp:posOffset>
            </wp:positionV>
            <wp:extent cx="3695700" cy="2378075"/>
            <wp:effectExtent l="0" t="0" r="0" b="3175"/>
            <wp:wrapTight wrapText="bothSides">
              <wp:wrapPolygon edited="0">
                <wp:start x="0" y="0"/>
                <wp:lineTo x="0" y="21456"/>
                <wp:lineTo x="21489" y="21456"/>
                <wp:lineTo x="214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6140" t="15480" r="5354" b="2222"/>
                    <a:stretch/>
                  </pic:blipFill>
                  <pic:spPr bwMode="auto">
                    <a:xfrm>
                      <a:off x="0" y="0"/>
                      <a:ext cx="3695700" cy="2378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5DDD">
        <w:rPr>
          <w:lang w:eastAsia="en-US"/>
        </w:rPr>
        <w:t>enhanced validation process for all new major projects.</w:t>
      </w:r>
      <w:r w:rsidR="00A01EC4">
        <w:rPr>
          <w:lang w:eastAsia="en-US"/>
        </w:rPr>
        <w:t xml:space="preserve">  </w:t>
      </w:r>
      <w:r w:rsidR="00385DDD">
        <w:rPr>
          <w:lang w:eastAsia="en-US"/>
        </w:rPr>
        <w:t xml:space="preserve">Gateway reviews require a 12-week lead in time to ensure proper assessment, planning and recruitment of a team. </w:t>
      </w:r>
    </w:p>
    <w:p w14:paraId="72352770" w14:textId="16A604D1" w:rsidR="00385DDD" w:rsidRDefault="009E72CE" w:rsidP="003651A9">
      <w:pPr>
        <w:pStyle w:val="Heading4"/>
        <w:ind w:left="0"/>
        <w:rPr>
          <w:lang w:eastAsia="en-US"/>
        </w:rPr>
      </w:pPr>
      <w:bookmarkStart w:id="11" w:name="_Toc522098880"/>
      <w:r>
        <w:rPr>
          <w:lang w:eastAsia="en-US"/>
        </w:rPr>
        <w:t>Additional</w:t>
      </w:r>
      <w:r w:rsidR="00DC4A12">
        <w:rPr>
          <w:lang w:eastAsia="en-US"/>
        </w:rPr>
        <w:t xml:space="preserve"> A</w:t>
      </w:r>
      <w:r w:rsidR="00385DDD">
        <w:rPr>
          <w:lang w:eastAsia="en-US"/>
        </w:rPr>
        <w:t>ssurance</w:t>
      </w:r>
      <w:bookmarkEnd w:id="11"/>
    </w:p>
    <w:p w14:paraId="7C36E62D" w14:textId="6D0029D7" w:rsidR="00385DDD" w:rsidRDefault="00F753BE" w:rsidP="00385DDD">
      <w:pPr>
        <w:rPr>
          <w:lang w:eastAsia="en-US"/>
        </w:rPr>
      </w:pPr>
      <w:r>
        <w:rPr>
          <w:lang w:eastAsia="en-US"/>
        </w:rPr>
        <w:t>In addition to G</w:t>
      </w:r>
      <w:r w:rsidR="00385DDD">
        <w:rPr>
          <w:lang w:eastAsia="en-US"/>
        </w:rPr>
        <w:t xml:space="preserve">ateway assurance, the Home Office has introduced alternative assurance interventions that can be tailored and applied proportionately to a </w:t>
      </w:r>
      <w:r w:rsidR="00972BCD">
        <w:rPr>
          <w:lang w:eastAsia="en-US"/>
        </w:rPr>
        <w:t xml:space="preserve">programme or </w:t>
      </w:r>
      <w:r w:rsidR="00385DDD">
        <w:rPr>
          <w:lang w:eastAsia="en-US"/>
        </w:rPr>
        <w:t xml:space="preserve">project depending on its size, risk, nature and requirements. </w:t>
      </w:r>
      <w:r w:rsidR="00972BCD">
        <w:rPr>
          <w:lang w:eastAsia="en-US"/>
        </w:rPr>
        <w:t xml:space="preserve"> </w:t>
      </w:r>
      <w:r w:rsidR="00385DDD">
        <w:rPr>
          <w:lang w:eastAsia="en-US"/>
        </w:rPr>
        <w:t>This includes</w:t>
      </w:r>
      <w:r w:rsidR="00627CA8">
        <w:rPr>
          <w:lang w:eastAsia="en-US"/>
        </w:rPr>
        <w:t>, readiness assessments,</w:t>
      </w:r>
      <w:r w:rsidR="00385DDD">
        <w:rPr>
          <w:lang w:eastAsia="en-US"/>
        </w:rPr>
        <w:t xml:space="preserve"> health checks, critical friend reviews, and risk assurance reviews. </w:t>
      </w:r>
      <w:r w:rsidR="00972BCD">
        <w:rPr>
          <w:lang w:eastAsia="en-US"/>
        </w:rPr>
        <w:t xml:space="preserve"> </w:t>
      </w:r>
      <w:r w:rsidR="00385DDD">
        <w:rPr>
          <w:lang w:eastAsia="en-US"/>
        </w:rPr>
        <w:t xml:space="preserve">In addition, </w:t>
      </w:r>
      <w:r w:rsidR="0064345C">
        <w:rPr>
          <w:lang w:eastAsia="en-US"/>
        </w:rPr>
        <w:t>PPD</w:t>
      </w:r>
      <w:r w:rsidR="00385DDD">
        <w:rPr>
          <w:lang w:eastAsia="en-US"/>
        </w:rPr>
        <w:t xml:space="preserve"> or P</w:t>
      </w:r>
      <w:r w:rsidR="0064345C">
        <w:rPr>
          <w:lang w:eastAsia="en-US"/>
        </w:rPr>
        <w:t>IC</w:t>
      </w:r>
      <w:r w:rsidR="00385DDD">
        <w:rPr>
          <w:lang w:eastAsia="en-US"/>
        </w:rPr>
        <w:t xml:space="preserve"> may commission cross</w:t>
      </w:r>
      <w:r w:rsidR="00972BCD">
        <w:rPr>
          <w:lang w:eastAsia="en-US"/>
        </w:rPr>
        <w:t>-</w:t>
      </w:r>
      <w:r w:rsidR="00385DDD">
        <w:rPr>
          <w:lang w:eastAsia="en-US"/>
        </w:rPr>
        <w:t xml:space="preserve">cutting deep dive reviews over a range of </w:t>
      </w:r>
      <w:r w:rsidR="00972BCD">
        <w:rPr>
          <w:lang w:eastAsia="en-US"/>
        </w:rPr>
        <w:t xml:space="preserve">programmes or </w:t>
      </w:r>
      <w:r w:rsidR="00385DDD">
        <w:rPr>
          <w:lang w:eastAsia="en-US"/>
        </w:rPr>
        <w:t>projects</w:t>
      </w:r>
      <w:r w:rsidR="00972BCD">
        <w:rPr>
          <w:lang w:eastAsia="en-US"/>
        </w:rPr>
        <w:t>,</w:t>
      </w:r>
      <w:r w:rsidR="00385DDD">
        <w:rPr>
          <w:lang w:eastAsia="en-US"/>
        </w:rPr>
        <w:t xml:space="preserve"> or </w:t>
      </w:r>
      <w:r w:rsidR="00972BCD">
        <w:rPr>
          <w:lang w:eastAsia="en-US"/>
        </w:rPr>
        <w:t xml:space="preserve">on </w:t>
      </w:r>
      <w:r w:rsidR="00916317">
        <w:rPr>
          <w:lang w:eastAsia="en-US"/>
        </w:rPr>
        <w:t xml:space="preserve">areas of project delivery.   </w:t>
      </w:r>
    </w:p>
    <w:p w14:paraId="61293B2A" w14:textId="2FA3F48C" w:rsidR="00623B81" w:rsidRDefault="00F753BE" w:rsidP="00623B81">
      <w:pPr>
        <w:pStyle w:val="Heading1"/>
        <w:rPr>
          <w:lang w:eastAsia="en-US"/>
        </w:rPr>
      </w:pPr>
      <w:bookmarkStart w:id="12" w:name="_Toc522098881"/>
      <w:r>
        <w:rPr>
          <w:lang w:eastAsia="en-US"/>
        </w:rPr>
        <w:lastRenderedPageBreak/>
        <w:t>3</w:t>
      </w:r>
      <w:r w:rsidRPr="00DC4A12">
        <w:rPr>
          <w:vertAlign w:val="superscript"/>
          <w:lang w:eastAsia="en-US"/>
        </w:rPr>
        <w:t>rd</w:t>
      </w:r>
      <w:r w:rsidR="00DC4A12">
        <w:rPr>
          <w:lang w:eastAsia="en-US"/>
        </w:rPr>
        <w:t xml:space="preserve"> </w:t>
      </w:r>
      <w:r w:rsidR="00623B81">
        <w:rPr>
          <w:lang w:eastAsia="en-US"/>
        </w:rPr>
        <w:t>Line of Assurance - Interventions</w:t>
      </w:r>
      <w:bookmarkEnd w:id="12"/>
    </w:p>
    <w:p w14:paraId="05CFACFA" w14:textId="5779AED7" w:rsidR="00623B81" w:rsidRDefault="00F753BE" w:rsidP="00D01103">
      <w:pPr>
        <w:rPr>
          <w:lang w:eastAsia="en-US"/>
        </w:rPr>
      </w:pPr>
      <w:r>
        <w:rPr>
          <w:lang w:eastAsia="en-US"/>
        </w:rPr>
        <w:t>The 3</w:t>
      </w:r>
      <w:r w:rsidRPr="00F753BE">
        <w:rPr>
          <w:vertAlign w:val="superscript"/>
          <w:lang w:eastAsia="en-US"/>
        </w:rPr>
        <w:t>rd</w:t>
      </w:r>
      <w:r w:rsidR="00662A2B">
        <w:rPr>
          <w:lang w:eastAsia="en-US"/>
        </w:rPr>
        <w:t xml:space="preserve"> line of assurance is delivered </w:t>
      </w:r>
      <w:r w:rsidR="006F07B0">
        <w:rPr>
          <w:lang w:eastAsia="en-US"/>
        </w:rPr>
        <w:t xml:space="preserve">at corporate level and </w:t>
      </w:r>
      <w:r w:rsidR="00662A2B">
        <w:rPr>
          <w:lang w:eastAsia="en-US"/>
        </w:rPr>
        <w:t xml:space="preserve">externally. </w:t>
      </w:r>
      <w:r w:rsidR="0020241B">
        <w:rPr>
          <w:lang w:eastAsia="en-US"/>
        </w:rPr>
        <w:t xml:space="preserve"> </w:t>
      </w:r>
      <w:bookmarkStart w:id="13" w:name="_GoBack"/>
      <w:r w:rsidR="0020241B">
        <w:rPr>
          <w:lang w:eastAsia="en-US"/>
        </w:rPr>
        <w:t xml:space="preserve">What constitutes </w:t>
      </w:r>
      <w:r>
        <w:rPr>
          <w:lang w:eastAsia="en-US"/>
        </w:rPr>
        <w:t>3</w:t>
      </w:r>
      <w:r w:rsidRPr="00AD5B50">
        <w:rPr>
          <w:vertAlign w:val="superscript"/>
          <w:lang w:eastAsia="en-US"/>
        </w:rPr>
        <w:t>rd</w:t>
      </w:r>
      <w:r w:rsidR="00AD5B50">
        <w:rPr>
          <w:lang w:eastAsia="en-US"/>
        </w:rPr>
        <w:t xml:space="preserve"> </w:t>
      </w:r>
      <w:r w:rsidR="0020241B">
        <w:rPr>
          <w:lang w:eastAsia="en-US"/>
        </w:rPr>
        <w:t xml:space="preserve">line of assurance interventions will depend on the complexity of the project; </w:t>
      </w:r>
      <w:r w:rsidR="00AD5B50">
        <w:rPr>
          <w:lang w:eastAsia="en-US"/>
        </w:rPr>
        <w:t xml:space="preserve">for </w:t>
      </w:r>
      <w:proofErr w:type="gramStart"/>
      <w:r w:rsidR="00AD5B50">
        <w:rPr>
          <w:lang w:eastAsia="en-US"/>
        </w:rPr>
        <w:t>instance</w:t>
      </w:r>
      <w:proofErr w:type="gramEnd"/>
      <w:r w:rsidR="00AD5B50">
        <w:rPr>
          <w:lang w:eastAsia="en-US"/>
        </w:rPr>
        <w:t xml:space="preserve"> </w:t>
      </w:r>
      <w:r w:rsidR="0020241B">
        <w:rPr>
          <w:lang w:eastAsia="en-US"/>
        </w:rPr>
        <w:t>smaller projects are unlikely to be subje</w:t>
      </w:r>
      <w:r w:rsidR="00AD5B50">
        <w:rPr>
          <w:lang w:eastAsia="en-US"/>
        </w:rPr>
        <w:t>ct to external assurance</w:t>
      </w:r>
      <w:r w:rsidR="0020241B">
        <w:rPr>
          <w:lang w:eastAsia="en-US"/>
        </w:rPr>
        <w:t xml:space="preserve">.  </w:t>
      </w:r>
      <w:bookmarkEnd w:id="13"/>
      <w:r w:rsidR="00662A2B">
        <w:rPr>
          <w:lang w:eastAsia="en-US"/>
        </w:rPr>
        <w:t xml:space="preserve">This includes independent assurance reviews </w:t>
      </w:r>
      <w:r w:rsidR="001D3C6D">
        <w:rPr>
          <w:lang w:eastAsia="en-US"/>
        </w:rPr>
        <w:t>by the IPA</w:t>
      </w:r>
      <w:r w:rsidR="00972BCD">
        <w:rPr>
          <w:lang w:eastAsia="en-US"/>
        </w:rPr>
        <w:t>, who apply the OGC Gateway process,</w:t>
      </w:r>
      <w:r w:rsidR="001D3C6D">
        <w:rPr>
          <w:lang w:eastAsia="en-US"/>
        </w:rPr>
        <w:t xml:space="preserve"> for the Home Office </w:t>
      </w:r>
      <w:r>
        <w:rPr>
          <w:lang w:eastAsia="en-US"/>
        </w:rPr>
        <w:t xml:space="preserve">major programmes </w:t>
      </w:r>
      <w:r w:rsidR="00662A2B">
        <w:rPr>
          <w:lang w:eastAsia="en-US"/>
        </w:rPr>
        <w:t xml:space="preserve">as well as </w:t>
      </w:r>
      <w:r w:rsidR="00662A2B" w:rsidRPr="00447D36">
        <w:rPr>
          <w:lang w:eastAsia="en-US"/>
        </w:rPr>
        <w:t xml:space="preserve">thematic reviews </w:t>
      </w:r>
      <w:r w:rsidR="00916317">
        <w:rPr>
          <w:lang w:eastAsia="en-US"/>
        </w:rPr>
        <w:t xml:space="preserve">through </w:t>
      </w:r>
      <w:r w:rsidR="006F07B0">
        <w:rPr>
          <w:lang w:eastAsia="en-US"/>
        </w:rPr>
        <w:t>MPRG</w:t>
      </w:r>
      <w:r w:rsidR="00662A2B" w:rsidRPr="00447D36">
        <w:rPr>
          <w:lang w:eastAsia="en-US"/>
        </w:rPr>
        <w:t>, G</w:t>
      </w:r>
      <w:r w:rsidR="006F07B0">
        <w:rPr>
          <w:lang w:eastAsia="en-US"/>
        </w:rPr>
        <w:t>DS</w:t>
      </w:r>
      <w:r w:rsidR="00662A2B" w:rsidRPr="00447D36">
        <w:rPr>
          <w:lang w:eastAsia="en-US"/>
        </w:rPr>
        <w:t>, HM</w:t>
      </w:r>
      <w:r>
        <w:rPr>
          <w:lang w:eastAsia="en-US"/>
        </w:rPr>
        <w:t>T</w:t>
      </w:r>
      <w:r w:rsidR="00662A2B" w:rsidRPr="00447D36">
        <w:rPr>
          <w:lang w:eastAsia="en-US"/>
        </w:rPr>
        <w:t xml:space="preserve"> and NAO</w:t>
      </w:r>
      <w:r w:rsidR="00662A2B">
        <w:rPr>
          <w:lang w:eastAsia="en-US"/>
        </w:rPr>
        <w:t>.</w:t>
      </w:r>
      <w:r>
        <w:rPr>
          <w:lang w:eastAsia="en-US"/>
        </w:rPr>
        <w:t xml:space="preserve"> </w:t>
      </w:r>
      <w:r w:rsidR="006F07B0">
        <w:rPr>
          <w:lang w:eastAsia="en-US"/>
        </w:rPr>
        <w:t xml:space="preserve"> </w:t>
      </w:r>
      <w:proofErr w:type="gramStart"/>
      <w:r w:rsidR="006F07B0">
        <w:rPr>
          <w:lang w:eastAsia="en-US"/>
        </w:rPr>
        <w:t>Additionally</w:t>
      </w:r>
      <w:proofErr w:type="gramEnd"/>
      <w:r w:rsidR="006F07B0">
        <w:rPr>
          <w:lang w:eastAsia="en-US"/>
        </w:rPr>
        <w:t xml:space="preserve"> the Home Office Assurance, Audit and Risk Committee may commission internal audits carried out by GIAA.  GIAA will also agree an annual plan of thematic major projects audits.</w:t>
      </w:r>
    </w:p>
    <w:p w14:paraId="0B2BA9D2" w14:textId="77777777" w:rsidR="00662A2B" w:rsidRDefault="00662A2B" w:rsidP="00662A2B">
      <w:pPr>
        <w:pStyle w:val="Heading1"/>
        <w:rPr>
          <w:lang w:eastAsia="en-US"/>
        </w:rPr>
      </w:pPr>
      <w:bookmarkStart w:id="14" w:name="_Toc522098882"/>
      <w:r>
        <w:rPr>
          <w:lang w:eastAsia="en-US"/>
        </w:rPr>
        <w:lastRenderedPageBreak/>
        <w:t>Assurance Reviewers</w:t>
      </w:r>
      <w:bookmarkEnd w:id="14"/>
    </w:p>
    <w:p w14:paraId="251E9D34" w14:textId="53E00B66" w:rsidR="0075418D" w:rsidRDefault="00662A2B" w:rsidP="00662A2B">
      <w:pPr>
        <w:rPr>
          <w:lang w:eastAsia="en-US"/>
        </w:rPr>
      </w:pPr>
      <w:r>
        <w:rPr>
          <w:lang w:eastAsia="en-US"/>
        </w:rPr>
        <w:t xml:space="preserve">PPD manages a pool of assurance reviewers.  </w:t>
      </w:r>
      <w:r w:rsidR="0075418D">
        <w:rPr>
          <w:lang w:eastAsia="en-US"/>
        </w:rPr>
        <w:t xml:space="preserve">Becoming an assurance reviewer is voluntary and PPD is grateful for their contribution to Home Office </w:t>
      </w:r>
      <w:r w:rsidR="00972BCD">
        <w:rPr>
          <w:lang w:eastAsia="en-US"/>
        </w:rPr>
        <w:t xml:space="preserve">programmes and </w:t>
      </w:r>
      <w:r w:rsidR="0075418D">
        <w:rPr>
          <w:lang w:eastAsia="en-US"/>
        </w:rPr>
        <w:t xml:space="preserve">projects but also across government. </w:t>
      </w:r>
    </w:p>
    <w:p w14:paraId="2281AB69" w14:textId="616295D3" w:rsidR="00662A2B" w:rsidRPr="00662A2B" w:rsidRDefault="00662A2B" w:rsidP="00662A2B">
      <w:pPr>
        <w:rPr>
          <w:lang w:eastAsia="en-US"/>
        </w:rPr>
      </w:pPr>
      <w:r>
        <w:rPr>
          <w:lang w:eastAsia="en-US"/>
        </w:rPr>
        <w:t xml:space="preserve">Assurance reviewers for the </w:t>
      </w:r>
      <w:r w:rsidR="00F753BE">
        <w:rPr>
          <w:lang w:eastAsia="en-US"/>
        </w:rPr>
        <w:t>2</w:t>
      </w:r>
      <w:r w:rsidR="00F753BE" w:rsidRPr="00F753BE">
        <w:rPr>
          <w:vertAlign w:val="superscript"/>
          <w:lang w:eastAsia="en-US"/>
        </w:rPr>
        <w:t>nd</w:t>
      </w:r>
      <w:r w:rsidR="00F753BE">
        <w:rPr>
          <w:lang w:eastAsia="en-US"/>
        </w:rPr>
        <w:t xml:space="preserve"> and 3</w:t>
      </w:r>
      <w:r w:rsidR="00F753BE" w:rsidRPr="00F753BE">
        <w:rPr>
          <w:vertAlign w:val="superscript"/>
          <w:lang w:eastAsia="en-US"/>
        </w:rPr>
        <w:t>rd</w:t>
      </w:r>
      <w:r w:rsidR="00F753BE">
        <w:rPr>
          <w:lang w:eastAsia="en-US"/>
        </w:rPr>
        <w:t xml:space="preserve"> </w:t>
      </w:r>
      <w:r>
        <w:rPr>
          <w:lang w:eastAsia="en-US"/>
        </w:rPr>
        <w:t xml:space="preserve">line of assurance have been accredited by the IPA.  </w:t>
      </w:r>
      <w:r w:rsidR="0075418D" w:rsidRPr="005809C1">
        <w:rPr>
          <w:rFonts w:cs="Arial"/>
        </w:rPr>
        <w:t xml:space="preserve">Reviewers must have a demonstrably strong background in delivering large </w:t>
      </w:r>
      <w:r w:rsidR="00972BCD">
        <w:rPr>
          <w:rFonts w:cs="Arial"/>
        </w:rPr>
        <w:t xml:space="preserve">programmes or </w:t>
      </w:r>
      <w:r w:rsidR="0075418D" w:rsidRPr="005809C1">
        <w:rPr>
          <w:rFonts w:cs="Arial"/>
        </w:rPr>
        <w:t xml:space="preserve">projects or initiatives, with practical experience in one or more of the following core areas: </w:t>
      </w:r>
      <w:r w:rsidR="0075418D">
        <w:rPr>
          <w:rFonts w:cs="Arial"/>
        </w:rPr>
        <w:t xml:space="preserve">project delivery; digital &amp; technology; operational delivery; change management; policy; construction; commercial &amp; procurement, estates, property </w:t>
      </w:r>
      <w:r w:rsidR="00972BCD">
        <w:rPr>
          <w:rFonts w:cs="Arial"/>
        </w:rPr>
        <w:t>and</w:t>
      </w:r>
      <w:r w:rsidR="0075418D">
        <w:rPr>
          <w:rFonts w:cs="Arial"/>
        </w:rPr>
        <w:t xml:space="preserve"> facilities and other sector specific skills</w:t>
      </w:r>
      <w:r w:rsidR="0075418D" w:rsidRPr="005809C1">
        <w:rPr>
          <w:rFonts w:cs="Arial"/>
        </w:rPr>
        <w:t>.</w:t>
      </w:r>
    </w:p>
    <w:p w14:paraId="615301F7" w14:textId="0B6DF7FA" w:rsidR="00662A2B" w:rsidRPr="00A258BF" w:rsidRDefault="0075418D" w:rsidP="003F078C">
      <w:pPr>
        <w:tabs>
          <w:tab w:val="num" w:pos="720"/>
        </w:tabs>
        <w:rPr>
          <w:lang w:eastAsia="en-US"/>
        </w:rPr>
      </w:pPr>
      <w:r>
        <w:rPr>
          <w:lang w:eastAsia="en-US"/>
        </w:rPr>
        <w:t xml:space="preserve">PPD runs regular networking events for reviewers and is working with the project delivery community to encourage new reviewers to join the pool.  </w:t>
      </w:r>
      <w:r w:rsidR="00E94042" w:rsidRPr="0075418D">
        <w:rPr>
          <w:lang w:eastAsia="en-US"/>
        </w:rPr>
        <w:t>Releasing r</w:t>
      </w:r>
      <w:r>
        <w:rPr>
          <w:lang w:eastAsia="en-US"/>
        </w:rPr>
        <w:t>e</w:t>
      </w:r>
      <w:r w:rsidR="00E94042" w:rsidRPr="0075418D">
        <w:rPr>
          <w:lang w:eastAsia="en-US"/>
        </w:rPr>
        <w:t xml:space="preserve">viewers is part of </w:t>
      </w:r>
      <w:r w:rsidR="00972BCD">
        <w:rPr>
          <w:lang w:eastAsia="en-US"/>
        </w:rPr>
        <w:t>d</w:t>
      </w:r>
      <w:r w:rsidR="00E94042" w:rsidRPr="0075418D">
        <w:rPr>
          <w:lang w:eastAsia="en-US"/>
        </w:rPr>
        <w:t>epartments' investment in their people and growth of their delivery capability.</w:t>
      </w:r>
      <w:r>
        <w:rPr>
          <w:lang w:eastAsia="en-US"/>
        </w:rPr>
        <w:t xml:space="preserve">  </w:t>
      </w:r>
      <w:r w:rsidR="00E94042" w:rsidRPr="0075418D">
        <w:rPr>
          <w:lang w:eastAsia="en-US"/>
        </w:rPr>
        <w:t>Reviewers directly contribute to the successful delivery of critical</w:t>
      </w:r>
      <w:r w:rsidR="00972BCD">
        <w:rPr>
          <w:lang w:eastAsia="en-US"/>
        </w:rPr>
        <w:t xml:space="preserve"> programmes and</w:t>
      </w:r>
      <w:r w:rsidR="00E94042" w:rsidRPr="0075418D">
        <w:rPr>
          <w:lang w:eastAsia="en-US"/>
        </w:rPr>
        <w:t xml:space="preserve"> projects. </w:t>
      </w:r>
      <w:r>
        <w:rPr>
          <w:lang w:eastAsia="en-US"/>
        </w:rPr>
        <w:t xml:space="preserve"> They </w:t>
      </w:r>
      <w:r w:rsidRPr="0075418D">
        <w:rPr>
          <w:lang w:eastAsia="en-US"/>
        </w:rPr>
        <w:t>can</w:t>
      </w:r>
      <w:r w:rsidR="00E94042" w:rsidRPr="0075418D">
        <w:rPr>
          <w:lang w:eastAsia="en-US"/>
        </w:rPr>
        <w:t xml:space="preserve"> reflect on their own skills and the incentive to 'up their game'</w:t>
      </w:r>
      <w:r>
        <w:rPr>
          <w:lang w:eastAsia="en-US"/>
        </w:rPr>
        <w:t xml:space="preserve"> and develop their leadership skills</w:t>
      </w:r>
      <w:r w:rsidR="00E94042" w:rsidRPr="0075418D">
        <w:rPr>
          <w:lang w:eastAsia="en-US"/>
        </w:rPr>
        <w:t xml:space="preserve">. </w:t>
      </w:r>
      <w:r w:rsidR="00972BCD">
        <w:rPr>
          <w:lang w:eastAsia="en-US"/>
        </w:rPr>
        <w:t xml:space="preserve"> </w:t>
      </w:r>
      <w:r>
        <w:rPr>
          <w:lang w:eastAsia="en-US"/>
        </w:rPr>
        <w:t>Un</w:t>
      </w:r>
      <w:r w:rsidR="00E94042" w:rsidRPr="0075418D">
        <w:rPr>
          <w:lang w:eastAsia="en-US"/>
        </w:rPr>
        <w:t xml:space="preserve">dertaking a review provides the opportunity to focus solely on a single task from start to finish and deliver a </w:t>
      </w:r>
      <w:r w:rsidRPr="0075418D">
        <w:rPr>
          <w:lang w:eastAsia="en-US"/>
        </w:rPr>
        <w:t>high-quality</w:t>
      </w:r>
      <w:r w:rsidR="00E94042" w:rsidRPr="0075418D">
        <w:rPr>
          <w:lang w:eastAsia="en-US"/>
        </w:rPr>
        <w:t xml:space="preserve"> outcome in a very short space of time.</w:t>
      </w:r>
    </w:p>
    <w:p w14:paraId="487F4CED" w14:textId="77777777" w:rsidR="002456BE" w:rsidRDefault="002456BE">
      <w:pPr>
        <w:keepNext/>
        <w:numPr>
          <w:ilvl w:val="0"/>
          <w:numId w:val="3"/>
        </w:numPr>
        <w:spacing w:after="60"/>
        <w:rPr>
          <w:rFonts w:cs="Arial"/>
          <w:bCs/>
          <w:lang w:val="en" w:eastAsia="en-US"/>
        </w:rPr>
        <w:sectPr w:rsidR="002456BE" w:rsidSect="00220FA9">
          <w:footerReference w:type="default" r:id="rId23"/>
          <w:pgSz w:w="11906" w:h="16838"/>
          <w:pgMar w:top="1440" w:right="1440" w:bottom="1440" w:left="1440" w:header="708" w:footer="708" w:gutter="0"/>
          <w:cols w:space="720"/>
          <w:docGrid w:linePitch="326"/>
        </w:sectPr>
      </w:pPr>
    </w:p>
    <w:p w14:paraId="56B70506" w14:textId="4EA8187D" w:rsidR="00662A2B" w:rsidRDefault="00662A2B" w:rsidP="00662A2B">
      <w:pPr>
        <w:pStyle w:val="Heading1"/>
      </w:pPr>
      <w:bookmarkStart w:id="15" w:name="_Annex_A_–"/>
      <w:bookmarkStart w:id="16" w:name="_Toc522098883"/>
      <w:bookmarkEnd w:id="15"/>
      <w:r>
        <w:lastRenderedPageBreak/>
        <w:t>Annex A – Integrated Assurance in the Home Office</w:t>
      </w:r>
      <w:bookmarkEnd w:id="16"/>
    </w:p>
    <w:p w14:paraId="21C04E13" w14:textId="751D5C9C" w:rsidR="00F42921" w:rsidRPr="00F42921" w:rsidRDefault="003A7403" w:rsidP="00F42921">
      <w:r w:rsidRPr="003A7403">
        <w:rPr>
          <w:noProof/>
        </w:rPr>
        <w:drawing>
          <wp:inline distT="0" distB="0" distL="0" distR="0" wp14:anchorId="564C4454" wp14:editId="13D0D7F2">
            <wp:extent cx="8200155" cy="5603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916" t="11550"/>
                    <a:stretch/>
                  </pic:blipFill>
                  <pic:spPr bwMode="auto">
                    <a:xfrm>
                      <a:off x="0" y="0"/>
                      <a:ext cx="8211525" cy="5611009"/>
                    </a:xfrm>
                    <a:prstGeom prst="rect">
                      <a:avLst/>
                    </a:prstGeom>
                    <a:noFill/>
                    <a:ln>
                      <a:noFill/>
                    </a:ln>
                    <a:extLst>
                      <a:ext uri="{53640926-AAD7-44D8-BBD7-CCE9431645EC}">
                        <a14:shadowObscured xmlns:a14="http://schemas.microsoft.com/office/drawing/2010/main"/>
                      </a:ext>
                    </a:extLst>
                  </pic:spPr>
                </pic:pic>
              </a:graphicData>
            </a:graphic>
          </wp:inline>
        </w:drawing>
      </w:r>
    </w:p>
    <w:p w14:paraId="6CCA3221" w14:textId="77777777" w:rsidR="00D37F7F" w:rsidRDefault="00D01103" w:rsidP="00D01103">
      <w:pPr>
        <w:pStyle w:val="Heading1"/>
        <w:rPr>
          <w:lang w:val="en" w:eastAsia="en-US"/>
        </w:rPr>
      </w:pPr>
      <w:bookmarkStart w:id="17" w:name="_Annex_B_–"/>
      <w:bookmarkStart w:id="18" w:name="_Toc522098884"/>
      <w:bookmarkEnd w:id="17"/>
      <w:r>
        <w:rPr>
          <w:lang w:val="en" w:eastAsia="en-US"/>
        </w:rPr>
        <w:lastRenderedPageBreak/>
        <w:t xml:space="preserve">Annex </w:t>
      </w:r>
      <w:r w:rsidR="00220FA9">
        <w:rPr>
          <w:lang w:val="en" w:eastAsia="en-US"/>
        </w:rPr>
        <w:t>B</w:t>
      </w:r>
      <w:r>
        <w:rPr>
          <w:lang w:val="en" w:eastAsia="en-US"/>
        </w:rPr>
        <w:t xml:space="preserve"> – Sample IAAP</w:t>
      </w:r>
      <w:bookmarkEnd w:id="18"/>
    </w:p>
    <w:p w14:paraId="545971E2" w14:textId="77777777" w:rsidR="00F753BE" w:rsidRDefault="00D01103" w:rsidP="00F753BE">
      <w:r w:rsidRPr="00D01103">
        <w:t>Please use the table below to plan the approval and assurance of your programme or project for the next 18 months.  The plan should be reviewed quarterly on a rolling basis, hiding or deleting the columns of past months and adding new columns for the next quarter.  Please indicate the assurance and approval intervention and date in the appropriate box (e.g. ‘Gate 3 17-19 Aug’ or ‘BDA 25 Aug’).</w:t>
      </w:r>
      <w:r w:rsidR="008D4EFF">
        <w:t xml:space="preserve">  </w:t>
      </w:r>
    </w:p>
    <w:p w14:paraId="5D92D8FE" w14:textId="77777777" w:rsidR="00F753BE" w:rsidRDefault="00D01103" w:rsidP="00F753BE">
      <w:r w:rsidRPr="00D01103">
        <w:t>All investment above £5</w:t>
      </w:r>
      <w:r w:rsidR="0090165C">
        <w:t xml:space="preserve"> </w:t>
      </w:r>
      <w:r w:rsidRPr="00D01103">
        <w:t>million whole life cost needs to be considered by the Home Office Portfolio</w:t>
      </w:r>
      <w:r w:rsidR="0090165C">
        <w:t>, Change and</w:t>
      </w:r>
      <w:r w:rsidRPr="00D01103">
        <w:t xml:space="preserve"> Investment Committee (PIC).  PIC will normally consider a Strategic Outline Business Case (SOBC), Outline Business Case (OBC), Full Business Case (FBC) or an annual Programme Business Case (PBC).  You should sch</w:t>
      </w:r>
      <w:r>
        <w:t>edule a pre-</w:t>
      </w:r>
      <w:r w:rsidRPr="00D01103">
        <w:t>PIC consideration by the Business Design Authority (BDA), Technical Design Authority (TDA) and Commercial A</w:t>
      </w:r>
      <w:r w:rsidR="0090165C">
        <w:t>ssurance</w:t>
      </w:r>
      <w:r w:rsidRPr="00D01103">
        <w:t xml:space="preserve"> Board (CAB) as appropriate; ideally this should be 4 to 6 weeks before the business case is considered by PIC.  </w:t>
      </w:r>
    </w:p>
    <w:p w14:paraId="15426E40" w14:textId="202243E1" w:rsidR="00D01103" w:rsidRDefault="00D01103" w:rsidP="00F753BE">
      <w:r w:rsidRPr="00D01103">
        <w:t xml:space="preserve">You should also plan an appropriate independent assurance review before PIC consideration.  Please note that assurance reviews require a lead in time of 10 to 12 weeks.  Please contact the </w:t>
      </w:r>
      <w:hyperlink r:id="rId25" w:history="1">
        <w:r w:rsidRPr="00D01103">
          <w:rPr>
            <w:color w:val="0000FF"/>
            <w:u w:val="single"/>
          </w:rPr>
          <w:t>Portfolio Governance</w:t>
        </w:r>
      </w:hyperlink>
      <w:r w:rsidRPr="00D01103">
        <w:t xml:space="preserve"> Inbox for any advice on assurance and approval.   </w:t>
      </w:r>
    </w:p>
    <w:p w14:paraId="286DBE77" w14:textId="77777777" w:rsidR="00F753BE" w:rsidRPr="00D01103" w:rsidRDefault="00F753BE" w:rsidP="00D01103"/>
    <w:tbl>
      <w:tblPr>
        <w:tblW w:w="505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612"/>
        <w:gridCol w:w="612"/>
        <w:gridCol w:w="612"/>
        <w:gridCol w:w="612"/>
        <w:gridCol w:w="612"/>
        <w:gridCol w:w="612"/>
        <w:gridCol w:w="612"/>
        <w:gridCol w:w="613"/>
        <w:gridCol w:w="613"/>
        <w:gridCol w:w="613"/>
        <w:gridCol w:w="613"/>
        <w:gridCol w:w="613"/>
        <w:gridCol w:w="613"/>
        <w:gridCol w:w="613"/>
        <w:gridCol w:w="613"/>
        <w:gridCol w:w="613"/>
        <w:gridCol w:w="613"/>
        <w:gridCol w:w="613"/>
      </w:tblGrid>
      <w:tr w:rsidR="00256A25" w:rsidRPr="00496008" w14:paraId="14004B70" w14:textId="77777777" w:rsidTr="00496008">
        <w:tc>
          <w:tcPr>
            <w:tcW w:w="1526" w:type="pct"/>
            <w:shd w:val="clear" w:color="auto" w:fill="auto"/>
          </w:tcPr>
          <w:p w14:paraId="308C4659" w14:textId="77777777"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Assurance/Approval intervention</w:t>
            </w:r>
          </w:p>
        </w:tc>
        <w:tc>
          <w:tcPr>
            <w:tcW w:w="193" w:type="pct"/>
            <w:shd w:val="clear" w:color="auto" w:fill="auto"/>
          </w:tcPr>
          <w:p w14:paraId="1073878C" w14:textId="77777777"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Jan</w:t>
            </w:r>
          </w:p>
        </w:tc>
        <w:tc>
          <w:tcPr>
            <w:tcW w:w="193" w:type="pct"/>
            <w:shd w:val="clear" w:color="auto" w:fill="auto"/>
          </w:tcPr>
          <w:p w14:paraId="3B23B6B7" w14:textId="77777777"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Feb</w:t>
            </w:r>
          </w:p>
        </w:tc>
        <w:tc>
          <w:tcPr>
            <w:tcW w:w="193" w:type="pct"/>
            <w:shd w:val="clear" w:color="auto" w:fill="auto"/>
          </w:tcPr>
          <w:p w14:paraId="64254E70" w14:textId="77777777"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Mar</w:t>
            </w:r>
          </w:p>
        </w:tc>
        <w:tc>
          <w:tcPr>
            <w:tcW w:w="193" w:type="pct"/>
            <w:shd w:val="clear" w:color="auto" w:fill="auto"/>
          </w:tcPr>
          <w:p w14:paraId="063F153A" w14:textId="77777777"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Apr</w:t>
            </w:r>
          </w:p>
        </w:tc>
        <w:tc>
          <w:tcPr>
            <w:tcW w:w="193" w:type="pct"/>
            <w:shd w:val="clear" w:color="auto" w:fill="auto"/>
          </w:tcPr>
          <w:p w14:paraId="3D1E132F" w14:textId="77777777"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May</w:t>
            </w:r>
          </w:p>
        </w:tc>
        <w:tc>
          <w:tcPr>
            <w:tcW w:w="193" w:type="pct"/>
            <w:shd w:val="clear" w:color="auto" w:fill="auto"/>
          </w:tcPr>
          <w:p w14:paraId="45D2C5FE" w14:textId="77777777"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Jun</w:t>
            </w:r>
          </w:p>
        </w:tc>
        <w:tc>
          <w:tcPr>
            <w:tcW w:w="193" w:type="pct"/>
            <w:shd w:val="clear" w:color="auto" w:fill="auto"/>
          </w:tcPr>
          <w:p w14:paraId="42028BE6" w14:textId="77777777"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Jul</w:t>
            </w:r>
          </w:p>
        </w:tc>
        <w:tc>
          <w:tcPr>
            <w:tcW w:w="193" w:type="pct"/>
            <w:shd w:val="clear" w:color="auto" w:fill="auto"/>
          </w:tcPr>
          <w:p w14:paraId="76BDBC3C" w14:textId="77777777"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Aug</w:t>
            </w:r>
          </w:p>
        </w:tc>
        <w:tc>
          <w:tcPr>
            <w:tcW w:w="193" w:type="pct"/>
            <w:shd w:val="clear" w:color="auto" w:fill="auto"/>
          </w:tcPr>
          <w:p w14:paraId="67EB4726" w14:textId="77777777"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Sep</w:t>
            </w:r>
          </w:p>
        </w:tc>
        <w:tc>
          <w:tcPr>
            <w:tcW w:w="193" w:type="pct"/>
            <w:shd w:val="clear" w:color="auto" w:fill="auto"/>
          </w:tcPr>
          <w:p w14:paraId="481578A9" w14:textId="77777777"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Oct</w:t>
            </w:r>
          </w:p>
        </w:tc>
        <w:tc>
          <w:tcPr>
            <w:tcW w:w="193" w:type="pct"/>
            <w:shd w:val="clear" w:color="auto" w:fill="auto"/>
          </w:tcPr>
          <w:p w14:paraId="7AC2CEE5" w14:textId="77777777"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Nov</w:t>
            </w:r>
          </w:p>
        </w:tc>
        <w:tc>
          <w:tcPr>
            <w:tcW w:w="193" w:type="pct"/>
            <w:shd w:val="clear" w:color="auto" w:fill="auto"/>
          </w:tcPr>
          <w:p w14:paraId="1E882FCA" w14:textId="77777777"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Dec</w:t>
            </w:r>
          </w:p>
        </w:tc>
        <w:tc>
          <w:tcPr>
            <w:tcW w:w="193" w:type="pct"/>
            <w:shd w:val="clear" w:color="auto" w:fill="auto"/>
          </w:tcPr>
          <w:p w14:paraId="699E10F4" w14:textId="77777777"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Jan</w:t>
            </w:r>
          </w:p>
        </w:tc>
        <w:tc>
          <w:tcPr>
            <w:tcW w:w="193" w:type="pct"/>
            <w:shd w:val="clear" w:color="auto" w:fill="auto"/>
          </w:tcPr>
          <w:p w14:paraId="6FFD3FCC" w14:textId="77777777"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Feb</w:t>
            </w:r>
          </w:p>
        </w:tc>
        <w:tc>
          <w:tcPr>
            <w:tcW w:w="193" w:type="pct"/>
            <w:shd w:val="clear" w:color="auto" w:fill="auto"/>
          </w:tcPr>
          <w:p w14:paraId="6185692C" w14:textId="77777777"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Mar</w:t>
            </w:r>
          </w:p>
        </w:tc>
        <w:tc>
          <w:tcPr>
            <w:tcW w:w="193" w:type="pct"/>
            <w:shd w:val="clear" w:color="auto" w:fill="auto"/>
          </w:tcPr>
          <w:p w14:paraId="5620A4C2" w14:textId="77777777"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Apr</w:t>
            </w:r>
          </w:p>
        </w:tc>
        <w:tc>
          <w:tcPr>
            <w:tcW w:w="193" w:type="pct"/>
            <w:shd w:val="clear" w:color="auto" w:fill="auto"/>
          </w:tcPr>
          <w:p w14:paraId="3D5D9645" w14:textId="77777777"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May</w:t>
            </w:r>
          </w:p>
        </w:tc>
        <w:tc>
          <w:tcPr>
            <w:tcW w:w="193" w:type="pct"/>
            <w:shd w:val="clear" w:color="auto" w:fill="auto"/>
          </w:tcPr>
          <w:p w14:paraId="4A5AAF34" w14:textId="77777777"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Jun</w:t>
            </w:r>
          </w:p>
        </w:tc>
      </w:tr>
      <w:tr w:rsidR="00256A25" w:rsidRPr="00496008" w14:paraId="31A1F610" w14:textId="77777777" w:rsidTr="00496008">
        <w:tc>
          <w:tcPr>
            <w:tcW w:w="1526" w:type="pct"/>
            <w:shd w:val="clear" w:color="auto" w:fill="auto"/>
          </w:tcPr>
          <w:p w14:paraId="6A5AD097" w14:textId="2FADFE91" w:rsidR="00D01103" w:rsidRPr="00496008" w:rsidRDefault="009E72CE" w:rsidP="00496008">
            <w:pPr>
              <w:suppressAutoHyphens w:val="0"/>
              <w:autoSpaceDN/>
              <w:spacing w:before="60" w:after="60"/>
              <w:textAlignment w:val="auto"/>
              <w:rPr>
                <w:rFonts w:cs="Calibri"/>
                <w:sz w:val="20"/>
                <w:szCs w:val="24"/>
              </w:rPr>
            </w:pPr>
            <w:r>
              <w:rPr>
                <w:rFonts w:cs="Calibri"/>
                <w:sz w:val="20"/>
                <w:szCs w:val="24"/>
              </w:rPr>
              <w:t>Gateway</w:t>
            </w:r>
            <w:r w:rsidR="00D01103" w:rsidRPr="00496008">
              <w:rPr>
                <w:rFonts w:cs="Calibri"/>
                <w:sz w:val="20"/>
                <w:szCs w:val="24"/>
              </w:rPr>
              <w:t xml:space="preserve"> reviews</w:t>
            </w:r>
          </w:p>
        </w:tc>
        <w:tc>
          <w:tcPr>
            <w:tcW w:w="193" w:type="pct"/>
            <w:shd w:val="clear" w:color="auto" w:fill="auto"/>
          </w:tcPr>
          <w:p w14:paraId="390126F1"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7C3FCF94"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370B4D6A"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47A59DAB"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379E91DF"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594EEF4D"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443F4E44"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4BAA52C1"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60359DF6"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3F9DD22"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23A51102"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E8A4149"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68F752E7"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73344966"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37F0B3F5"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2834990B"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4E00913"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21C8DBB8" w14:textId="77777777" w:rsidR="00D01103" w:rsidRPr="00496008" w:rsidRDefault="00D01103" w:rsidP="00496008">
            <w:pPr>
              <w:suppressAutoHyphens w:val="0"/>
              <w:autoSpaceDN/>
              <w:spacing w:before="60" w:after="60"/>
              <w:textAlignment w:val="auto"/>
              <w:rPr>
                <w:rFonts w:cs="Calibri"/>
                <w:sz w:val="20"/>
                <w:szCs w:val="24"/>
              </w:rPr>
            </w:pPr>
          </w:p>
        </w:tc>
      </w:tr>
      <w:tr w:rsidR="008D4EFF" w:rsidRPr="00496008" w14:paraId="46E4FAB3" w14:textId="77777777" w:rsidTr="00496008">
        <w:tc>
          <w:tcPr>
            <w:tcW w:w="1526" w:type="pct"/>
            <w:shd w:val="clear" w:color="auto" w:fill="auto"/>
          </w:tcPr>
          <w:p w14:paraId="21E103D5" w14:textId="41F1193D" w:rsidR="008D4EFF" w:rsidRPr="00496008" w:rsidRDefault="009E72CE" w:rsidP="00496008">
            <w:pPr>
              <w:suppressAutoHyphens w:val="0"/>
              <w:autoSpaceDN/>
              <w:spacing w:before="60" w:after="60"/>
              <w:textAlignment w:val="auto"/>
              <w:rPr>
                <w:rFonts w:cs="Calibri"/>
                <w:sz w:val="20"/>
                <w:szCs w:val="24"/>
              </w:rPr>
            </w:pPr>
            <w:r>
              <w:rPr>
                <w:rFonts w:cs="Calibri"/>
                <w:sz w:val="20"/>
                <w:szCs w:val="24"/>
              </w:rPr>
              <w:t xml:space="preserve">Additional </w:t>
            </w:r>
            <w:r w:rsidR="008D4EFF">
              <w:rPr>
                <w:rFonts w:cs="Calibri"/>
                <w:sz w:val="20"/>
                <w:szCs w:val="24"/>
              </w:rPr>
              <w:t xml:space="preserve">Assurance </w:t>
            </w:r>
            <w:proofErr w:type="gramStart"/>
            <w:r w:rsidR="008D4EFF">
              <w:rPr>
                <w:rFonts w:cs="Calibri"/>
                <w:sz w:val="20"/>
                <w:szCs w:val="24"/>
              </w:rPr>
              <w:t>incl.</w:t>
            </w:r>
            <w:proofErr w:type="gramEnd"/>
            <w:r w:rsidR="008D4EFF">
              <w:rPr>
                <w:rFonts w:cs="Calibri"/>
                <w:sz w:val="20"/>
                <w:szCs w:val="24"/>
              </w:rPr>
              <w:t xml:space="preserve"> Readiness Assessment</w:t>
            </w:r>
          </w:p>
        </w:tc>
        <w:tc>
          <w:tcPr>
            <w:tcW w:w="193" w:type="pct"/>
            <w:shd w:val="clear" w:color="auto" w:fill="auto"/>
          </w:tcPr>
          <w:p w14:paraId="505CD313" w14:textId="77777777" w:rsidR="008D4EFF" w:rsidRPr="00496008" w:rsidRDefault="008D4EFF" w:rsidP="00496008">
            <w:pPr>
              <w:suppressAutoHyphens w:val="0"/>
              <w:autoSpaceDN/>
              <w:spacing w:before="60" w:after="60"/>
              <w:textAlignment w:val="auto"/>
              <w:rPr>
                <w:rFonts w:cs="Calibri"/>
                <w:sz w:val="20"/>
                <w:szCs w:val="24"/>
              </w:rPr>
            </w:pPr>
          </w:p>
        </w:tc>
        <w:tc>
          <w:tcPr>
            <w:tcW w:w="193" w:type="pct"/>
            <w:shd w:val="clear" w:color="auto" w:fill="auto"/>
          </w:tcPr>
          <w:p w14:paraId="141A71CC" w14:textId="77777777" w:rsidR="008D4EFF" w:rsidRPr="00496008" w:rsidRDefault="008D4EFF" w:rsidP="00496008">
            <w:pPr>
              <w:suppressAutoHyphens w:val="0"/>
              <w:autoSpaceDN/>
              <w:spacing w:before="60" w:after="60"/>
              <w:textAlignment w:val="auto"/>
              <w:rPr>
                <w:rFonts w:cs="Calibri"/>
                <w:sz w:val="20"/>
                <w:szCs w:val="24"/>
              </w:rPr>
            </w:pPr>
          </w:p>
        </w:tc>
        <w:tc>
          <w:tcPr>
            <w:tcW w:w="193" w:type="pct"/>
            <w:shd w:val="clear" w:color="auto" w:fill="auto"/>
          </w:tcPr>
          <w:p w14:paraId="558C562E" w14:textId="77777777" w:rsidR="008D4EFF" w:rsidRPr="00496008" w:rsidRDefault="008D4EFF" w:rsidP="00496008">
            <w:pPr>
              <w:suppressAutoHyphens w:val="0"/>
              <w:autoSpaceDN/>
              <w:spacing w:before="60" w:after="60"/>
              <w:textAlignment w:val="auto"/>
              <w:rPr>
                <w:rFonts w:cs="Calibri"/>
                <w:sz w:val="20"/>
                <w:szCs w:val="24"/>
              </w:rPr>
            </w:pPr>
          </w:p>
        </w:tc>
        <w:tc>
          <w:tcPr>
            <w:tcW w:w="193" w:type="pct"/>
            <w:shd w:val="clear" w:color="auto" w:fill="auto"/>
          </w:tcPr>
          <w:p w14:paraId="03D30FF6" w14:textId="77777777" w:rsidR="008D4EFF" w:rsidRPr="00496008" w:rsidRDefault="008D4EFF" w:rsidP="00496008">
            <w:pPr>
              <w:suppressAutoHyphens w:val="0"/>
              <w:autoSpaceDN/>
              <w:spacing w:before="60" w:after="60"/>
              <w:textAlignment w:val="auto"/>
              <w:rPr>
                <w:rFonts w:cs="Calibri"/>
                <w:sz w:val="20"/>
                <w:szCs w:val="24"/>
              </w:rPr>
            </w:pPr>
          </w:p>
        </w:tc>
        <w:tc>
          <w:tcPr>
            <w:tcW w:w="193" w:type="pct"/>
            <w:shd w:val="clear" w:color="auto" w:fill="auto"/>
          </w:tcPr>
          <w:p w14:paraId="5317FD66" w14:textId="77777777" w:rsidR="008D4EFF" w:rsidRPr="00496008" w:rsidRDefault="008D4EFF" w:rsidP="00496008">
            <w:pPr>
              <w:suppressAutoHyphens w:val="0"/>
              <w:autoSpaceDN/>
              <w:spacing w:before="60" w:after="60"/>
              <w:textAlignment w:val="auto"/>
              <w:rPr>
                <w:rFonts w:cs="Calibri"/>
                <w:sz w:val="20"/>
                <w:szCs w:val="24"/>
              </w:rPr>
            </w:pPr>
          </w:p>
        </w:tc>
        <w:tc>
          <w:tcPr>
            <w:tcW w:w="193" w:type="pct"/>
            <w:shd w:val="clear" w:color="auto" w:fill="auto"/>
          </w:tcPr>
          <w:p w14:paraId="5A611243" w14:textId="77777777" w:rsidR="008D4EFF" w:rsidRPr="00496008" w:rsidRDefault="008D4EFF" w:rsidP="00496008">
            <w:pPr>
              <w:suppressAutoHyphens w:val="0"/>
              <w:autoSpaceDN/>
              <w:spacing w:before="60" w:after="60"/>
              <w:textAlignment w:val="auto"/>
              <w:rPr>
                <w:rFonts w:cs="Calibri"/>
                <w:sz w:val="20"/>
                <w:szCs w:val="24"/>
              </w:rPr>
            </w:pPr>
          </w:p>
        </w:tc>
        <w:tc>
          <w:tcPr>
            <w:tcW w:w="193" w:type="pct"/>
            <w:shd w:val="clear" w:color="auto" w:fill="auto"/>
          </w:tcPr>
          <w:p w14:paraId="590676DF" w14:textId="77777777" w:rsidR="008D4EFF" w:rsidRPr="00496008" w:rsidRDefault="008D4EFF" w:rsidP="00496008">
            <w:pPr>
              <w:suppressAutoHyphens w:val="0"/>
              <w:autoSpaceDN/>
              <w:spacing w:before="60" w:after="60"/>
              <w:textAlignment w:val="auto"/>
              <w:rPr>
                <w:rFonts w:cs="Calibri"/>
                <w:sz w:val="20"/>
                <w:szCs w:val="24"/>
              </w:rPr>
            </w:pPr>
          </w:p>
        </w:tc>
        <w:tc>
          <w:tcPr>
            <w:tcW w:w="193" w:type="pct"/>
            <w:shd w:val="clear" w:color="auto" w:fill="auto"/>
          </w:tcPr>
          <w:p w14:paraId="680B1D61" w14:textId="77777777" w:rsidR="008D4EFF" w:rsidRPr="00496008" w:rsidRDefault="008D4EFF" w:rsidP="00496008">
            <w:pPr>
              <w:suppressAutoHyphens w:val="0"/>
              <w:autoSpaceDN/>
              <w:spacing w:before="60" w:after="60"/>
              <w:textAlignment w:val="auto"/>
              <w:rPr>
                <w:rFonts w:cs="Calibri"/>
                <w:sz w:val="20"/>
                <w:szCs w:val="24"/>
              </w:rPr>
            </w:pPr>
          </w:p>
        </w:tc>
        <w:tc>
          <w:tcPr>
            <w:tcW w:w="193" w:type="pct"/>
            <w:shd w:val="clear" w:color="auto" w:fill="auto"/>
          </w:tcPr>
          <w:p w14:paraId="0D730050" w14:textId="77777777" w:rsidR="008D4EFF" w:rsidRPr="00496008" w:rsidRDefault="008D4EFF" w:rsidP="00496008">
            <w:pPr>
              <w:suppressAutoHyphens w:val="0"/>
              <w:autoSpaceDN/>
              <w:spacing w:before="60" w:after="60"/>
              <w:textAlignment w:val="auto"/>
              <w:rPr>
                <w:rFonts w:cs="Calibri"/>
                <w:sz w:val="20"/>
                <w:szCs w:val="24"/>
              </w:rPr>
            </w:pPr>
          </w:p>
        </w:tc>
        <w:tc>
          <w:tcPr>
            <w:tcW w:w="193" w:type="pct"/>
            <w:shd w:val="clear" w:color="auto" w:fill="auto"/>
          </w:tcPr>
          <w:p w14:paraId="0FDFAA06" w14:textId="77777777" w:rsidR="008D4EFF" w:rsidRPr="00496008" w:rsidRDefault="008D4EFF" w:rsidP="00496008">
            <w:pPr>
              <w:suppressAutoHyphens w:val="0"/>
              <w:autoSpaceDN/>
              <w:spacing w:before="60" w:after="60"/>
              <w:textAlignment w:val="auto"/>
              <w:rPr>
                <w:rFonts w:cs="Calibri"/>
                <w:sz w:val="20"/>
                <w:szCs w:val="24"/>
              </w:rPr>
            </w:pPr>
          </w:p>
        </w:tc>
        <w:tc>
          <w:tcPr>
            <w:tcW w:w="193" w:type="pct"/>
            <w:shd w:val="clear" w:color="auto" w:fill="auto"/>
          </w:tcPr>
          <w:p w14:paraId="128A5B0F" w14:textId="77777777" w:rsidR="008D4EFF" w:rsidRPr="00496008" w:rsidRDefault="008D4EFF" w:rsidP="00496008">
            <w:pPr>
              <w:suppressAutoHyphens w:val="0"/>
              <w:autoSpaceDN/>
              <w:spacing w:before="60" w:after="60"/>
              <w:textAlignment w:val="auto"/>
              <w:rPr>
                <w:rFonts w:cs="Calibri"/>
                <w:sz w:val="20"/>
                <w:szCs w:val="24"/>
              </w:rPr>
            </w:pPr>
          </w:p>
        </w:tc>
        <w:tc>
          <w:tcPr>
            <w:tcW w:w="193" w:type="pct"/>
            <w:shd w:val="clear" w:color="auto" w:fill="auto"/>
          </w:tcPr>
          <w:p w14:paraId="60D40EBC" w14:textId="77777777" w:rsidR="008D4EFF" w:rsidRPr="00496008" w:rsidRDefault="008D4EFF" w:rsidP="00496008">
            <w:pPr>
              <w:suppressAutoHyphens w:val="0"/>
              <w:autoSpaceDN/>
              <w:spacing w:before="60" w:after="60"/>
              <w:textAlignment w:val="auto"/>
              <w:rPr>
                <w:rFonts w:cs="Calibri"/>
                <w:sz w:val="20"/>
                <w:szCs w:val="24"/>
              </w:rPr>
            </w:pPr>
          </w:p>
        </w:tc>
        <w:tc>
          <w:tcPr>
            <w:tcW w:w="193" w:type="pct"/>
            <w:shd w:val="clear" w:color="auto" w:fill="auto"/>
          </w:tcPr>
          <w:p w14:paraId="42463CA8" w14:textId="77777777" w:rsidR="008D4EFF" w:rsidRPr="00496008" w:rsidRDefault="008D4EFF" w:rsidP="00496008">
            <w:pPr>
              <w:suppressAutoHyphens w:val="0"/>
              <w:autoSpaceDN/>
              <w:spacing w:before="60" w:after="60"/>
              <w:textAlignment w:val="auto"/>
              <w:rPr>
                <w:rFonts w:cs="Calibri"/>
                <w:sz w:val="20"/>
                <w:szCs w:val="24"/>
              </w:rPr>
            </w:pPr>
          </w:p>
        </w:tc>
        <w:tc>
          <w:tcPr>
            <w:tcW w:w="193" w:type="pct"/>
            <w:shd w:val="clear" w:color="auto" w:fill="auto"/>
          </w:tcPr>
          <w:p w14:paraId="1B91C443" w14:textId="77777777" w:rsidR="008D4EFF" w:rsidRPr="00496008" w:rsidRDefault="008D4EFF" w:rsidP="00496008">
            <w:pPr>
              <w:suppressAutoHyphens w:val="0"/>
              <w:autoSpaceDN/>
              <w:spacing w:before="60" w:after="60"/>
              <w:textAlignment w:val="auto"/>
              <w:rPr>
                <w:rFonts w:cs="Calibri"/>
                <w:sz w:val="20"/>
                <w:szCs w:val="24"/>
              </w:rPr>
            </w:pPr>
          </w:p>
        </w:tc>
        <w:tc>
          <w:tcPr>
            <w:tcW w:w="193" w:type="pct"/>
            <w:shd w:val="clear" w:color="auto" w:fill="auto"/>
          </w:tcPr>
          <w:p w14:paraId="4222FFE7" w14:textId="77777777" w:rsidR="008D4EFF" w:rsidRPr="00496008" w:rsidRDefault="008D4EFF" w:rsidP="00496008">
            <w:pPr>
              <w:suppressAutoHyphens w:val="0"/>
              <w:autoSpaceDN/>
              <w:spacing w:before="60" w:after="60"/>
              <w:textAlignment w:val="auto"/>
              <w:rPr>
                <w:rFonts w:cs="Calibri"/>
                <w:sz w:val="20"/>
                <w:szCs w:val="24"/>
              </w:rPr>
            </w:pPr>
          </w:p>
        </w:tc>
        <w:tc>
          <w:tcPr>
            <w:tcW w:w="193" w:type="pct"/>
            <w:shd w:val="clear" w:color="auto" w:fill="auto"/>
          </w:tcPr>
          <w:p w14:paraId="53C01849" w14:textId="77777777" w:rsidR="008D4EFF" w:rsidRPr="00496008" w:rsidRDefault="008D4EFF" w:rsidP="00496008">
            <w:pPr>
              <w:suppressAutoHyphens w:val="0"/>
              <w:autoSpaceDN/>
              <w:spacing w:before="60" w:after="60"/>
              <w:textAlignment w:val="auto"/>
              <w:rPr>
                <w:rFonts w:cs="Calibri"/>
                <w:sz w:val="20"/>
                <w:szCs w:val="24"/>
              </w:rPr>
            </w:pPr>
          </w:p>
        </w:tc>
        <w:tc>
          <w:tcPr>
            <w:tcW w:w="193" w:type="pct"/>
            <w:shd w:val="clear" w:color="auto" w:fill="auto"/>
          </w:tcPr>
          <w:p w14:paraId="0B707A6B" w14:textId="77777777" w:rsidR="008D4EFF" w:rsidRPr="00496008" w:rsidRDefault="008D4EFF" w:rsidP="00496008">
            <w:pPr>
              <w:suppressAutoHyphens w:val="0"/>
              <w:autoSpaceDN/>
              <w:spacing w:before="60" w:after="60"/>
              <w:textAlignment w:val="auto"/>
              <w:rPr>
                <w:rFonts w:cs="Calibri"/>
                <w:sz w:val="20"/>
                <w:szCs w:val="24"/>
              </w:rPr>
            </w:pPr>
          </w:p>
        </w:tc>
        <w:tc>
          <w:tcPr>
            <w:tcW w:w="193" w:type="pct"/>
            <w:shd w:val="clear" w:color="auto" w:fill="auto"/>
          </w:tcPr>
          <w:p w14:paraId="751522CD" w14:textId="77777777" w:rsidR="008D4EFF" w:rsidRPr="00496008" w:rsidRDefault="008D4EFF" w:rsidP="00496008">
            <w:pPr>
              <w:suppressAutoHyphens w:val="0"/>
              <w:autoSpaceDN/>
              <w:spacing w:before="60" w:after="60"/>
              <w:textAlignment w:val="auto"/>
              <w:rPr>
                <w:rFonts w:cs="Calibri"/>
                <w:sz w:val="20"/>
                <w:szCs w:val="24"/>
              </w:rPr>
            </w:pPr>
          </w:p>
        </w:tc>
      </w:tr>
      <w:tr w:rsidR="00256A25" w:rsidRPr="00496008" w14:paraId="3E19312E" w14:textId="77777777" w:rsidTr="00496008">
        <w:tc>
          <w:tcPr>
            <w:tcW w:w="1526" w:type="pct"/>
            <w:shd w:val="clear" w:color="auto" w:fill="auto"/>
          </w:tcPr>
          <w:p w14:paraId="2D69A3F2" w14:textId="642240F6"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Pre-PIC consideration HO BDA</w:t>
            </w:r>
            <w:r w:rsidR="00F753BE">
              <w:rPr>
                <w:rFonts w:cs="Calibri"/>
                <w:sz w:val="20"/>
                <w:szCs w:val="24"/>
                <w:vertAlign w:val="superscript"/>
              </w:rPr>
              <w:t xml:space="preserve">, </w:t>
            </w:r>
            <w:r w:rsidRPr="00496008">
              <w:rPr>
                <w:rFonts w:cs="Calibri"/>
                <w:sz w:val="20"/>
                <w:szCs w:val="24"/>
              </w:rPr>
              <w:t>BICS PDPB or local BDA</w:t>
            </w:r>
          </w:p>
        </w:tc>
        <w:tc>
          <w:tcPr>
            <w:tcW w:w="193" w:type="pct"/>
            <w:shd w:val="clear" w:color="auto" w:fill="auto"/>
          </w:tcPr>
          <w:p w14:paraId="48C3567A"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8D95ED0"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161718E6"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F22E009"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47F980C0"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49CD2A87"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5EE562A5"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21063979"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6D78F28"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169BADDA"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6D694023"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79CE648A"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7DF3FCA3"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142FF8D2"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F6950A8"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5647F1A1"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210D9AF6"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21FE914E" w14:textId="77777777" w:rsidR="00D01103" w:rsidRPr="00496008" w:rsidRDefault="00D01103" w:rsidP="00496008">
            <w:pPr>
              <w:suppressAutoHyphens w:val="0"/>
              <w:autoSpaceDN/>
              <w:spacing w:before="60" w:after="60"/>
              <w:textAlignment w:val="auto"/>
              <w:rPr>
                <w:rFonts w:cs="Calibri"/>
                <w:sz w:val="20"/>
                <w:szCs w:val="24"/>
              </w:rPr>
            </w:pPr>
          </w:p>
        </w:tc>
      </w:tr>
      <w:tr w:rsidR="00256A25" w:rsidRPr="00496008" w14:paraId="13207A03" w14:textId="77777777" w:rsidTr="00496008">
        <w:tc>
          <w:tcPr>
            <w:tcW w:w="1526" w:type="pct"/>
            <w:shd w:val="clear" w:color="auto" w:fill="auto"/>
          </w:tcPr>
          <w:p w14:paraId="6780955D" w14:textId="021CA974"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Pre-PIC consideration TDA, TSG or Hub TDA</w:t>
            </w:r>
          </w:p>
        </w:tc>
        <w:tc>
          <w:tcPr>
            <w:tcW w:w="193" w:type="pct"/>
            <w:shd w:val="clear" w:color="auto" w:fill="auto"/>
          </w:tcPr>
          <w:p w14:paraId="4AEF00F4"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4E046742"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19FA27EB"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2CDA2D27"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4902EF49"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10A28D41"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47119FE6"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A30179F"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7206D2CD"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AD1EA7A"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321D024B"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1DEDC506"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45AC3F7C"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7C0C5CBF"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14F1063"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51346953"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62B97A4E"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095EFE3" w14:textId="77777777" w:rsidR="00D01103" w:rsidRPr="00496008" w:rsidRDefault="00D01103" w:rsidP="00496008">
            <w:pPr>
              <w:suppressAutoHyphens w:val="0"/>
              <w:autoSpaceDN/>
              <w:spacing w:before="60" w:after="60"/>
              <w:textAlignment w:val="auto"/>
              <w:rPr>
                <w:rFonts w:cs="Calibri"/>
                <w:sz w:val="20"/>
                <w:szCs w:val="24"/>
              </w:rPr>
            </w:pPr>
          </w:p>
        </w:tc>
      </w:tr>
      <w:tr w:rsidR="00256A25" w:rsidRPr="00496008" w14:paraId="6106124D" w14:textId="77777777" w:rsidTr="00496008">
        <w:tc>
          <w:tcPr>
            <w:tcW w:w="1526" w:type="pct"/>
            <w:shd w:val="clear" w:color="auto" w:fill="auto"/>
          </w:tcPr>
          <w:p w14:paraId="5FF56E73" w14:textId="6E0F1A44"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Pre-PIC consideration CAB</w:t>
            </w:r>
          </w:p>
        </w:tc>
        <w:tc>
          <w:tcPr>
            <w:tcW w:w="193" w:type="pct"/>
            <w:shd w:val="clear" w:color="auto" w:fill="auto"/>
          </w:tcPr>
          <w:p w14:paraId="659B214E"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B59A8AC"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9A88137"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2071CD56"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48DF121E"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30C6D361"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56A7F8D8"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50250B0"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44DE17B9"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1740FF5B"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33911628"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600BDD0A"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422BA0AC"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1EBFD0BC"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3FB78581"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7E896B18"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78DE71A0"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8B9F559" w14:textId="77777777" w:rsidR="00D01103" w:rsidRPr="00496008" w:rsidRDefault="00D01103" w:rsidP="00496008">
            <w:pPr>
              <w:suppressAutoHyphens w:val="0"/>
              <w:autoSpaceDN/>
              <w:spacing w:before="60" w:after="60"/>
              <w:textAlignment w:val="auto"/>
              <w:rPr>
                <w:rFonts w:cs="Calibri"/>
                <w:sz w:val="20"/>
                <w:szCs w:val="24"/>
              </w:rPr>
            </w:pPr>
          </w:p>
        </w:tc>
      </w:tr>
      <w:tr w:rsidR="00256A25" w:rsidRPr="00496008" w14:paraId="3FCB9422" w14:textId="77777777" w:rsidTr="00496008">
        <w:tc>
          <w:tcPr>
            <w:tcW w:w="1526" w:type="pct"/>
            <w:shd w:val="clear" w:color="auto" w:fill="auto"/>
          </w:tcPr>
          <w:p w14:paraId="40F8EBF0" w14:textId="232B35E7"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PIC approval</w:t>
            </w:r>
          </w:p>
        </w:tc>
        <w:tc>
          <w:tcPr>
            <w:tcW w:w="193" w:type="pct"/>
            <w:shd w:val="clear" w:color="auto" w:fill="auto"/>
          </w:tcPr>
          <w:p w14:paraId="28803978"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5A297DEB"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4D08B99"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4F881D49"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33D855E8"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D647DB3"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6336FC64"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4F7D634A"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1856FB5B"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5BF593FE"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773B717A"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3E7D5F57"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6ABF568F"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49689081"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4B7C7590"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0B6E0D8"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2DC758C"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5E961C61" w14:textId="77777777" w:rsidR="00D01103" w:rsidRPr="00496008" w:rsidRDefault="00D01103" w:rsidP="00496008">
            <w:pPr>
              <w:suppressAutoHyphens w:val="0"/>
              <w:autoSpaceDN/>
              <w:spacing w:before="60" w:after="60"/>
              <w:textAlignment w:val="auto"/>
              <w:rPr>
                <w:rFonts w:cs="Calibri"/>
                <w:sz w:val="20"/>
                <w:szCs w:val="24"/>
              </w:rPr>
            </w:pPr>
          </w:p>
        </w:tc>
      </w:tr>
      <w:tr w:rsidR="00256A25" w:rsidRPr="00496008" w14:paraId="2875C872" w14:textId="77777777" w:rsidTr="00496008">
        <w:tc>
          <w:tcPr>
            <w:tcW w:w="1526" w:type="pct"/>
            <w:shd w:val="clear" w:color="auto" w:fill="auto"/>
          </w:tcPr>
          <w:p w14:paraId="7FFEB43D" w14:textId="1D04C5B6"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External Approval (GDS/Cabinet Office/HMT)</w:t>
            </w:r>
          </w:p>
        </w:tc>
        <w:tc>
          <w:tcPr>
            <w:tcW w:w="193" w:type="pct"/>
            <w:shd w:val="clear" w:color="auto" w:fill="auto"/>
          </w:tcPr>
          <w:p w14:paraId="69558AD5"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11BC0531"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751FED48"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64DEE41B"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55E1D0E0"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5316FEE2"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343D1851"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26DAAAB4"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2DD3759D"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2453C0AF"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3C13B957"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5BBA082F"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AD8DB27"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3C5C261C"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362EC9D4"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3C0192B2"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236597D9"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B7F29DD" w14:textId="77777777" w:rsidR="00D01103" w:rsidRPr="00496008" w:rsidRDefault="00D01103" w:rsidP="00496008">
            <w:pPr>
              <w:suppressAutoHyphens w:val="0"/>
              <w:autoSpaceDN/>
              <w:spacing w:before="60" w:after="60"/>
              <w:textAlignment w:val="auto"/>
              <w:rPr>
                <w:rFonts w:cs="Calibri"/>
                <w:sz w:val="20"/>
                <w:szCs w:val="24"/>
              </w:rPr>
            </w:pPr>
          </w:p>
        </w:tc>
      </w:tr>
      <w:tr w:rsidR="00256A25" w:rsidRPr="00496008" w14:paraId="747A625E" w14:textId="77777777" w:rsidTr="00496008">
        <w:tc>
          <w:tcPr>
            <w:tcW w:w="1526" w:type="pct"/>
            <w:shd w:val="clear" w:color="auto" w:fill="auto"/>
          </w:tcPr>
          <w:p w14:paraId="499789FE" w14:textId="77777777" w:rsidR="00D01103" w:rsidRPr="00496008" w:rsidRDefault="00D01103" w:rsidP="00496008">
            <w:pPr>
              <w:suppressAutoHyphens w:val="0"/>
              <w:autoSpaceDN/>
              <w:spacing w:before="60" w:after="60"/>
              <w:textAlignment w:val="auto"/>
              <w:rPr>
                <w:rFonts w:cs="Calibri"/>
                <w:sz w:val="20"/>
                <w:szCs w:val="24"/>
              </w:rPr>
            </w:pPr>
            <w:r w:rsidRPr="00496008">
              <w:rPr>
                <w:rFonts w:cs="Calibri"/>
                <w:sz w:val="20"/>
                <w:szCs w:val="24"/>
              </w:rPr>
              <w:t>Other</w:t>
            </w:r>
          </w:p>
        </w:tc>
        <w:tc>
          <w:tcPr>
            <w:tcW w:w="193" w:type="pct"/>
            <w:shd w:val="clear" w:color="auto" w:fill="auto"/>
          </w:tcPr>
          <w:p w14:paraId="5595A12D"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68551542"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231D83FB"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3E5D0974"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124075BE"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4DF1C241"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4EB61559"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3A5DDA17"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3D846744"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1B7A7D6A"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4529F997"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7658E487"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4B44049B"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0B718800"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1D7B2BBD"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1949ACEE"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3A7BF3F0" w14:textId="77777777" w:rsidR="00D01103" w:rsidRPr="00496008" w:rsidRDefault="00D01103" w:rsidP="00496008">
            <w:pPr>
              <w:suppressAutoHyphens w:val="0"/>
              <w:autoSpaceDN/>
              <w:spacing w:before="60" w:after="60"/>
              <w:textAlignment w:val="auto"/>
              <w:rPr>
                <w:rFonts w:cs="Calibri"/>
                <w:sz w:val="20"/>
                <w:szCs w:val="24"/>
              </w:rPr>
            </w:pPr>
          </w:p>
        </w:tc>
        <w:tc>
          <w:tcPr>
            <w:tcW w:w="193" w:type="pct"/>
            <w:shd w:val="clear" w:color="auto" w:fill="auto"/>
          </w:tcPr>
          <w:p w14:paraId="404A10FC" w14:textId="77777777" w:rsidR="00D01103" w:rsidRPr="00496008" w:rsidRDefault="00D01103" w:rsidP="00496008">
            <w:pPr>
              <w:suppressAutoHyphens w:val="0"/>
              <w:autoSpaceDN/>
              <w:spacing w:before="60" w:after="60"/>
              <w:textAlignment w:val="auto"/>
              <w:rPr>
                <w:rFonts w:cs="Calibri"/>
                <w:sz w:val="20"/>
                <w:szCs w:val="24"/>
              </w:rPr>
            </w:pPr>
          </w:p>
        </w:tc>
      </w:tr>
    </w:tbl>
    <w:p w14:paraId="161CB3A7" w14:textId="203F382B" w:rsidR="00D37F7F" w:rsidRDefault="00220FA9" w:rsidP="002456BE">
      <w:pPr>
        <w:pStyle w:val="Heading1"/>
        <w:rPr>
          <w:lang w:val="en" w:eastAsia="en-US"/>
        </w:rPr>
      </w:pPr>
      <w:bookmarkStart w:id="19" w:name="_Annex_C_-"/>
      <w:bookmarkStart w:id="20" w:name="_Toc522098885"/>
      <w:bookmarkStart w:id="21" w:name="tm_385744904"/>
      <w:bookmarkEnd w:id="19"/>
      <w:r>
        <w:rPr>
          <w:lang w:val="en" w:eastAsia="en-US"/>
        </w:rPr>
        <w:lastRenderedPageBreak/>
        <w:t>Annex C</w:t>
      </w:r>
      <w:r w:rsidR="002456BE">
        <w:rPr>
          <w:lang w:val="en" w:eastAsia="en-US"/>
        </w:rPr>
        <w:t xml:space="preserve"> </w:t>
      </w:r>
      <w:r w:rsidR="008C0B3D">
        <w:rPr>
          <w:lang w:val="en" w:eastAsia="en-US"/>
        </w:rPr>
        <w:t>–</w:t>
      </w:r>
      <w:r w:rsidR="002456BE">
        <w:rPr>
          <w:lang w:val="en" w:eastAsia="en-US"/>
        </w:rPr>
        <w:t xml:space="preserve"> </w:t>
      </w:r>
      <w:r w:rsidR="008C0B3D">
        <w:rPr>
          <w:lang w:val="en" w:eastAsia="en-US"/>
        </w:rPr>
        <w:t xml:space="preserve">Roles and </w:t>
      </w:r>
      <w:r w:rsidR="009E6CE1">
        <w:rPr>
          <w:lang w:val="en" w:eastAsia="en-US"/>
        </w:rPr>
        <w:t>Responsibilitie</w:t>
      </w:r>
      <w:r w:rsidR="008C0B3D">
        <w:rPr>
          <w:lang w:val="en" w:eastAsia="en-US"/>
        </w:rPr>
        <w:t>s</w:t>
      </w:r>
      <w:bookmarkEnd w:id="20"/>
    </w:p>
    <w:tbl>
      <w:tblPr>
        <w:tblW w:w="14913" w:type="dxa"/>
        <w:tblInd w:w="108" w:type="dxa"/>
        <w:tblCellMar>
          <w:left w:w="10" w:type="dxa"/>
          <w:right w:w="10" w:type="dxa"/>
        </w:tblCellMar>
        <w:tblLook w:val="0000" w:firstRow="0" w:lastRow="0" w:firstColumn="0" w:lastColumn="0" w:noHBand="0" w:noVBand="0"/>
      </w:tblPr>
      <w:tblGrid>
        <w:gridCol w:w="2581"/>
        <w:gridCol w:w="12332"/>
      </w:tblGrid>
      <w:tr w:rsidR="00F842CC" w14:paraId="4015302C" w14:textId="77777777" w:rsidTr="00453500">
        <w:trPr>
          <w:tblHeader/>
        </w:trPr>
        <w:tc>
          <w:tcPr>
            <w:tcW w:w="25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bookmarkEnd w:id="21"/>
          <w:p w14:paraId="6624B8C0" w14:textId="77777777" w:rsidR="00F842CC" w:rsidRPr="00385DDD" w:rsidRDefault="00F842CC" w:rsidP="00A258BF">
            <w:pPr>
              <w:rPr>
                <w:b/>
              </w:rPr>
            </w:pPr>
            <w:r w:rsidRPr="00385DDD">
              <w:rPr>
                <w:b/>
              </w:rPr>
              <w:t>Responsible bodies and roles</w:t>
            </w:r>
          </w:p>
        </w:tc>
        <w:tc>
          <w:tcPr>
            <w:tcW w:w="123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9D08899" w14:textId="77777777" w:rsidR="00F842CC" w:rsidRPr="00385DDD" w:rsidRDefault="00F842CC" w:rsidP="00A258BF">
            <w:pPr>
              <w:rPr>
                <w:b/>
              </w:rPr>
            </w:pPr>
            <w:r>
              <w:rPr>
                <w:b/>
              </w:rPr>
              <w:t>Responsibilities for Assurance</w:t>
            </w:r>
          </w:p>
        </w:tc>
      </w:tr>
      <w:tr w:rsidR="00A979D7" w14:paraId="7611F7DB" w14:textId="77777777" w:rsidTr="0090165C">
        <w:trPr>
          <w:trHeight w:val="543"/>
        </w:trPr>
        <w:tc>
          <w:tcPr>
            <w:tcW w:w="149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B2AB3" w14:textId="046A48D0" w:rsidR="00A979D7" w:rsidRPr="0090165C" w:rsidRDefault="00A979D7" w:rsidP="00A258BF">
            <w:pPr>
              <w:rPr>
                <w:b/>
              </w:rPr>
            </w:pPr>
            <w:r w:rsidRPr="0090165C">
              <w:rPr>
                <w:b/>
                <w:color w:val="7030A0"/>
              </w:rPr>
              <w:t xml:space="preserve">First </w:t>
            </w:r>
            <w:r w:rsidR="00446F76">
              <w:rPr>
                <w:b/>
                <w:color w:val="7030A0"/>
              </w:rPr>
              <w:t xml:space="preserve">and Second </w:t>
            </w:r>
            <w:r w:rsidRPr="0090165C">
              <w:rPr>
                <w:b/>
                <w:color w:val="7030A0"/>
              </w:rPr>
              <w:t xml:space="preserve">Line of </w:t>
            </w:r>
            <w:r w:rsidR="00446F76">
              <w:rPr>
                <w:b/>
                <w:color w:val="7030A0"/>
              </w:rPr>
              <w:t>Assurance</w:t>
            </w:r>
            <w:r w:rsidRPr="0090165C">
              <w:rPr>
                <w:b/>
                <w:color w:val="7030A0"/>
              </w:rPr>
              <w:t xml:space="preserve"> </w:t>
            </w:r>
          </w:p>
        </w:tc>
      </w:tr>
      <w:tr w:rsidR="00A979D7" w14:paraId="25742CFB" w14:textId="77777777" w:rsidTr="00453500">
        <w:trPr>
          <w:trHeight w:val="543"/>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0DB97" w14:textId="3DDDEA7D" w:rsidR="00A979D7" w:rsidRDefault="00A979D7" w:rsidP="00A979D7">
            <w:pPr>
              <w:rPr>
                <w:lang w:eastAsia="en-US"/>
              </w:rPr>
            </w:pPr>
            <w:r>
              <w:rPr>
                <w:lang w:eastAsia="en-US"/>
              </w:rPr>
              <w:t>SRO/Sponsor</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998C0" w14:textId="77777777" w:rsidR="00A979D7" w:rsidRDefault="00A979D7" w:rsidP="00A979D7">
            <w:pPr>
              <w:rPr>
                <w:lang w:eastAsia="en-US"/>
              </w:rPr>
            </w:pPr>
            <w:r>
              <w:rPr>
                <w:lang w:eastAsia="en-US"/>
              </w:rPr>
              <w:t xml:space="preserve">Agrees IAAP </w:t>
            </w:r>
          </w:p>
          <w:p w14:paraId="24E5C156" w14:textId="77777777" w:rsidR="00A979D7" w:rsidRDefault="00A979D7" w:rsidP="00A979D7">
            <w:pPr>
              <w:rPr>
                <w:lang w:eastAsia="en-US"/>
              </w:rPr>
            </w:pPr>
            <w:r>
              <w:rPr>
                <w:lang w:eastAsia="en-US"/>
              </w:rPr>
              <w:t>Sponsors assurance reviews</w:t>
            </w:r>
          </w:p>
          <w:p w14:paraId="1D36D3F1" w14:textId="77777777" w:rsidR="00A979D7" w:rsidRDefault="00A979D7" w:rsidP="00A979D7">
            <w:pPr>
              <w:rPr>
                <w:lang w:eastAsia="en-US"/>
              </w:rPr>
            </w:pPr>
            <w:r>
              <w:rPr>
                <w:lang w:eastAsia="en-US"/>
              </w:rPr>
              <w:t>Communicates and actions assurance findings and recommendations</w:t>
            </w:r>
          </w:p>
          <w:p w14:paraId="5B6D73E7" w14:textId="77777777" w:rsidR="00A979D7" w:rsidRDefault="00A979D7" w:rsidP="00A979D7">
            <w:pPr>
              <w:rPr>
                <w:lang w:eastAsia="en-US"/>
              </w:rPr>
            </w:pPr>
            <w:r>
              <w:rPr>
                <w:lang w:eastAsia="en-US"/>
              </w:rPr>
              <w:t>Owns programme/project response and implementation of recommendations in assurance reports</w:t>
            </w:r>
          </w:p>
          <w:p w14:paraId="33C4F192" w14:textId="11045D55" w:rsidR="00A979D7" w:rsidRDefault="00A979D7" w:rsidP="00A979D7">
            <w:r>
              <w:rPr>
                <w:lang w:eastAsia="en-US"/>
              </w:rPr>
              <w:t xml:space="preserve">Ensures IAAP and assurance activities comply with Integrated Assurance Strategy </w:t>
            </w:r>
          </w:p>
        </w:tc>
      </w:tr>
      <w:tr w:rsidR="00A979D7" w14:paraId="1D4BD2D3" w14:textId="77777777" w:rsidTr="00453500">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167F8" w14:textId="77777777" w:rsidR="00A979D7" w:rsidRDefault="00A979D7" w:rsidP="00453500">
            <w:pPr>
              <w:rPr>
                <w:lang w:eastAsia="en-US"/>
              </w:rPr>
            </w:pPr>
            <w:r>
              <w:rPr>
                <w:lang w:eastAsia="en-US"/>
              </w:rPr>
              <w:t>Programme/Project Board</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E4D24" w14:textId="77777777" w:rsidR="00A979D7" w:rsidRDefault="00A979D7" w:rsidP="00453500">
            <w:pPr>
              <w:rPr>
                <w:lang w:eastAsia="en-US"/>
              </w:rPr>
            </w:pPr>
            <w:r>
              <w:rPr>
                <w:lang w:eastAsia="en-US"/>
              </w:rPr>
              <w:t>Oversees first line of assurance</w:t>
            </w:r>
          </w:p>
          <w:p w14:paraId="575232D2" w14:textId="77777777" w:rsidR="00A979D7" w:rsidRDefault="00A979D7" w:rsidP="00453500">
            <w:pPr>
              <w:rPr>
                <w:lang w:eastAsia="en-US"/>
              </w:rPr>
            </w:pPr>
            <w:r>
              <w:rPr>
                <w:lang w:eastAsia="en-US"/>
              </w:rPr>
              <w:t>Approves IAAPs (where applicable)</w:t>
            </w:r>
          </w:p>
          <w:p w14:paraId="07748CD7" w14:textId="77777777" w:rsidR="00A979D7" w:rsidRDefault="00A979D7" w:rsidP="00453500">
            <w:r>
              <w:rPr>
                <w:lang w:eastAsia="en-US"/>
              </w:rPr>
              <w:t xml:space="preserve">Monitors progress against assurance action plans and internal audit recommendations  </w:t>
            </w:r>
          </w:p>
        </w:tc>
      </w:tr>
      <w:tr w:rsidR="00A979D7" w14:paraId="4C46AE3A" w14:textId="77777777" w:rsidTr="00453500">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CD4BD" w14:textId="77777777" w:rsidR="00A979D7" w:rsidRDefault="00A979D7" w:rsidP="00453500">
            <w:pPr>
              <w:rPr>
                <w:lang w:eastAsia="en-US"/>
              </w:rPr>
            </w:pPr>
            <w:r>
              <w:rPr>
                <w:lang w:eastAsia="en-US"/>
              </w:rPr>
              <w:t>Programme / Project Manager</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A20D8" w14:textId="77777777" w:rsidR="00A979D7" w:rsidRDefault="00A979D7" w:rsidP="00453500">
            <w:pPr>
              <w:rPr>
                <w:lang w:eastAsia="en-US"/>
              </w:rPr>
            </w:pPr>
            <w:r>
              <w:rPr>
                <w:lang w:eastAsia="en-US"/>
              </w:rPr>
              <w:t>Manages engagement with local BDA and TDA</w:t>
            </w:r>
          </w:p>
          <w:p w14:paraId="43DE2D2A" w14:textId="77777777" w:rsidR="00A979D7" w:rsidRDefault="00A979D7" w:rsidP="00453500">
            <w:pPr>
              <w:rPr>
                <w:lang w:eastAsia="en-US"/>
              </w:rPr>
            </w:pPr>
            <w:r>
              <w:rPr>
                <w:lang w:eastAsia="en-US"/>
              </w:rPr>
              <w:t>Manages execution of the IAAP schedule and requirements</w:t>
            </w:r>
          </w:p>
          <w:p w14:paraId="4FB43F5F" w14:textId="77777777" w:rsidR="00480091" w:rsidRDefault="00480091" w:rsidP="00453500">
            <w:r>
              <w:t>Accountable for first line of assurance</w:t>
            </w:r>
          </w:p>
          <w:p w14:paraId="18BAAB34" w14:textId="12B956B7" w:rsidR="0079353B" w:rsidRDefault="0079353B" w:rsidP="00453500">
            <w:r>
              <w:t xml:space="preserve">Implements </w:t>
            </w:r>
            <w:proofErr w:type="gramStart"/>
            <w:r>
              <w:t>review  recommendations</w:t>
            </w:r>
            <w:proofErr w:type="gramEnd"/>
          </w:p>
        </w:tc>
      </w:tr>
      <w:tr w:rsidR="00A979D7" w14:paraId="0F04AB35" w14:textId="77777777" w:rsidTr="00453500">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36DDF" w14:textId="77777777" w:rsidR="00A979D7" w:rsidRDefault="00A979D7" w:rsidP="00453500">
            <w:pPr>
              <w:rPr>
                <w:lang w:eastAsia="en-US"/>
              </w:rPr>
            </w:pPr>
            <w:r>
              <w:rPr>
                <w:lang w:eastAsia="en-US"/>
              </w:rPr>
              <w:t xml:space="preserve">Programme / Project Management Office </w:t>
            </w:r>
          </w:p>
          <w:p w14:paraId="2ACAC1AE" w14:textId="77777777" w:rsidR="00A979D7" w:rsidRDefault="00A979D7" w:rsidP="00453500"/>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41A5" w14:textId="7CD12FD7" w:rsidR="0079353B" w:rsidRDefault="0079353B" w:rsidP="00453500">
            <w:pPr>
              <w:rPr>
                <w:lang w:eastAsia="en-US"/>
              </w:rPr>
            </w:pPr>
            <w:r>
              <w:rPr>
                <w:lang w:eastAsia="en-US"/>
              </w:rPr>
              <w:t>Implements first line assurance</w:t>
            </w:r>
          </w:p>
          <w:p w14:paraId="3F74F67E" w14:textId="143B4A76" w:rsidR="00A979D7" w:rsidRDefault="00A979D7" w:rsidP="00453500">
            <w:pPr>
              <w:rPr>
                <w:lang w:eastAsia="en-US"/>
              </w:rPr>
            </w:pPr>
            <w:r>
              <w:rPr>
                <w:lang w:eastAsia="en-US"/>
              </w:rPr>
              <w:t xml:space="preserve">Ensures that first line of assurance activities </w:t>
            </w:r>
            <w:proofErr w:type="gramStart"/>
            <w:r>
              <w:rPr>
                <w:lang w:eastAsia="en-US"/>
              </w:rPr>
              <w:t>are</w:t>
            </w:r>
            <w:proofErr w:type="gramEnd"/>
            <w:r>
              <w:rPr>
                <w:lang w:eastAsia="en-US"/>
              </w:rPr>
              <w:t xml:space="preserve"> monitored (e.g. risk registers, engagement with local BDA and TDA)</w:t>
            </w:r>
          </w:p>
          <w:p w14:paraId="05212827" w14:textId="77777777" w:rsidR="00A979D7" w:rsidRDefault="00A979D7" w:rsidP="00453500">
            <w:pPr>
              <w:rPr>
                <w:lang w:eastAsia="en-US"/>
              </w:rPr>
            </w:pPr>
            <w:r>
              <w:rPr>
                <w:lang w:eastAsia="en-US"/>
              </w:rPr>
              <w:t>Develops initial IAAP through consultation with stakeholders and independent and internal assurance providers</w:t>
            </w:r>
          </w:p>
          <w:p w14:paraId="640E149E" w14:textId="77777777" w:rsidR="00A979D7" w:rsidRDefault="00A979D7" w:rsidP="00453500">
            <w:pPr>
              <w:rPr>
                <w:lang w:eastAsia="en-US"/>
              </w:rPr>
            </w:pPr>
            <w:r>
              <w:rPr>
                <w:lang w:eastAsia="en-US"/>
              </w:rPr>
              <w:t xml:space="preserve">Completes Risk Potential Assessment (RPA) and sends it to SRO for approval to instigate each assurance review </w:t>
            </w:r>
          </w:p>
          <w:p w14:paraId="0B39D0F0" w14:textId="77777777" w:rsidR="00A979D7" w:rsidRDefault="00A979D7" w:rsidP="00453500">
            <w:pPr>
              <w:rPr>
                <w:lang w:eastAsia="en-US"/>
              </w:rPr>
            </w:pPr>
            <w:r>
              <w:rPr>
                <w:lang w:eastAsia="en-US"/>
              </w:rPr>
              <w:t xml:space="preserve">Liaises with potential assurance providers to schedule and resource assurance reviews in line with IAAP </w:t>
            </w:r>
          </w:p>
          <w:p w14:paraId="44112B01" w14:textId="77777777" w:rsidR="00A979D7" w:rsidRDefault="00A979D7" w:rsidP="00453500">
            <w:pPr>
              <w:rPr>
                <w:lang w:eastAsia="en-US"/>
              </w:rPr>
            </w:pPr>
            <w:r>
              <w:rPr>
                <w:lang w:eastAsia="en-US"/>
              </w:rPr>
              <w:t>Reviews IAAP after each assurance activity and updates IAAP if appropriate – sends amended IAAP to IPA for validation</w:t>
            </w:r>
          </w:p>
          <w:p w14:paraId="61AB9875" w14:textId="77777777" w:rsidR="00A979D7" w:rsidRDefault="00A979D7" w:rsidP="00453500">
            <w:r>
              <w:rPr>
                <w:lang w:eastAsia="en-US"/>
              </w:rPr>
              <w:lastRenderedPageBreak/>
              <w:t>Monitors execution of IAAP and actions exceptions</w:t>
            </w:r>
          </w:p>
        </w:tc>
      </w:tr>
      <w:tr w:rsidR="00A979D7" w14:paraId="7F93FD86" w14:textId="77777777" w:rsidTr="00453500">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99456" w14:textId="77777777" w:rsidR="00A979D7" w:rsidRDefault="00A979D7" w:rsidP="00453500">
            <w:pPr>
              <w:rPr>
                <w:lang w:eastAsia="en-US"/>
              </w:rPr>
            </w:pPr>
            <w:r>
              <w:rPr>
                <w:lang w:eastAsia="en-US"/>
              </w:rPr>
              <w:lastRenderedPageBreak/>
              <w:t>Stakeholders</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C7086" w14:textId="77777777" w:rsidR="00A979D7" w:rsidRDefault="00A979D7" w:rsidP="00453500">
            <w:pPr>
              <w:rPr>
                <w:lang w:eastAsia="en-US"/>
              </w:rPr>
            </w:pPr>
            <w:r>
              <w:rPr>
                <w:lang w:eastAsia="en-US"/>
              </w:rPr>
              <w:t xml:space="preserve">Indicate assurance requirements </w:t>
            </w:r>
          </w:p>
          <w:p w14:paraId="5B0590E1" w14:textId="77777777" w:rsidR="00A979D7" w:rsidRDefault="00A979D7" w:rsidP="00453500">
            <w:r>
              <w:rPr>
                <w:lang w:eastAsia="en-US"/>
              </w:rPr>
              <w:t>Receive assurances (e.g. reports)</w:t>
            </w:r>
          </w:p>
        </w:tc>
      </w:tr>
      <w:tr w:rsidR="00446F76" w14:paraId="4D434234" w14:textId="77777777" w:rsidTr="00453500">
        <w:trPr>
          <w:trHeight w:val="543"/>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4D96E" w14:textId="0E5B6F56" w:rsidR="00446F76" w:rsidRDefault="00446F76" w:rsidP="00446F76">
            <w:pPr>
              <w:rPr>
                <w:lang w:eastAsia="en-US"/>
              </w:rPr>
            </w:pPr>
            <w:r>
              <w:rPr>
                <w:lang w:eastAsia="en-US"/>
              </w:rPr>
              <w:t>Portfolio and Project Delivery Directorate (PPD)</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AED9D" w14:textId="77777777" w:rsidR="00446F76" w:rsidRDefault="00446F76" w:rsidP="00446F76">
            <w:pPr>
              <w:rPr>
                <w:lang w:eastAsia="en-US"/>
              </w:rPr>
            </w:pPr>
            <w:r>
              <w:rPr>
                <w:lang w:eastAsia="en-US"/>
              </w:rPr>
              <w:t xml:space="preserve">Develops and maintains the Integrated Assurance Strategy for Projects and Programmes  </w:t>
            </w:r>
          </w:p>
          <w:p w14:paraId="580A82CA" w14:textId="77777777" w:rsidR="00446F76" w:rsidRDefault="00446F76" w:rsidP="00446F76">
            <w:pPr>
              <w:rPr>
                <w:lang w:eastAsia="en-US"/>
              </w:rPr>
            </w:pPr>
            <w:r>
              <w:rPr>
                <w:lang w:eastAsia="en-US"/>
              </w:rPr>
              <w:t xml:space="preserve">Monitors indications of significant new initiatives which are likely to be delivered through a major project </w:t>
            </w:r>
          </w:p>
          <w:p w14:paraId="264868A9" w14:textId="77777777" w:rsidR="00446F76" w:rsidRDefault="00446F76" w:rsidP="00446F76">
            <w:pPr>
              <w:rPr>
                <w:lang w:eastAsia="en-US"/>
              </w:rPr>
            </w:pPr>
            <w:r>
              <w:rPr>
                <w:lang w:eastAsia="en-US"/>
              </w:rPr>
              <w:t>Advises IPA about requirement(s) for appropriate assurance interventions for these emerging initiatives</w:t>
            </w:r>
          </w:p>
          <w:p w14:paraId="42E3D6BD" w14:textId="77777777" w:rsidR="00446F76" w:rsidRDefault="00446F76" w:rsidP="00446F76">
            <w:pPr>
              <w:rPr>
                <w:lang w:eastAsia="en-US"/>
              </w:rPr>
            </w:pPr>
            <w:r>
              <w:rPr>
                <w:lang w:eastAsia="en-US"/>
              </w:rPr>
              <w:t>Liaises with investment bodies to ensure their assurance requirements are considered and appropriate</w:t>
            </w:r>
          </w:p>
          <w:p w14:paraId="2E960B7B" w14:textId="39B1E51B" w:rsidR="00446F76" w:rsidRDefault="00446F76" w:rsidP="00446F76">
            <w:r>
              <w:rPr>
                <w:lang w:eastAsia="en-US"/>
              </w:rPr>
              <w:t>Provides local guidance on project assurance including IAAPs</w:t>
            </w:r>
          </w:p>
        </w:tc>
      </w:tr>
      <w:tr w:rsidR="00446F76" w14:paraId="34DE21FB" w14:textId="77777777" w:rsidTr="00453500">
        <w:trPr>
          <w:trHeight w:val="543"/>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362C4" w14:textId="21975343" w:rsidR="00446F76" w:rsidRDefault="00537A5B" w:rsidP="00446F76">
            <w:pPr>
              <w:rPr>
                <w:lang w:eastAsia="en-US"/>
              </w:rPr>
            </w:pPr>
            <w:r>
              <w:rPr>
                <w:szCs w:val="24"/>
                <w:lang w:eastAsia="en-US"/>
              </w:rPr>
              <w:t>Portfolio I</w:t>
            </w:r>
            <w:r w:rsidR="00446F76">
              <w:rPr>
                <w:szCs w:val="24"/>
                <w:lang w:eastAsia="en-US"/>
              </w:rPr>
              <w:t>nvestment and Change Committee (PIC)</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A9113" w14:textId="28F6FDFA" w:rsidR="0079353B" w:rsidRPr="00BE57B6" w:rsidRDefault="0079353B" w:rsidP="00446F76">
            <w:pPr>
              <w:rPr>
                <w:lang w:eastAsia="en-US"/>
              </w:rPr>
            </w:pPr>
            <w:r w:rsidRPr="00BE57B6">
              <w:rPr>
                <w:lang w:eastAsia="en-US"/>
              </w:rPr>
              <w:t>Major assurance stakeholder</w:t>
            </w:r>
          </w:p>
          <w:p w14:paraId="7B70E3BF" w14:textId="29B0095E" w:rsidR="00446F76" w:rsidRPr="00BE57B6" w:rsidRDefault="0079353B" w:rsidP="00BE57B6">
            <w:r w:rsidRPr="00BE57B6">
              <w:rPr>
                <w:lang w:eastAsia="en-US"/>
              </w:rPr>
              <w:t xml:space="preserve">Oversees </w:t>
            </w:r>
            <w:proofErr w:type="spellStart"/>
            <w:r w:rsidRPr="00BE57B6">
              <w:rPr>
                <w:lang w:eastAsia="en-US"/>
              </w:rPr>
              <w:t>effectivce</w:t>
            </w:r>
            <w:proofErr w:type="spellEnd"/>
            <w:r w:rsidRPr="00BE57B6">
              <w:rPr>
                <w:lang w:eastAsia="en-US"/>
              </w:rPr>
              <w:t xml:space="preserve"> assurance</w:t>
            </w:r>
          </w:p>
        </w:tc>
      </w:tr>
      <w:tr w:rsidR="00446F76" w14:paraId="5264CC4A" w14:textId="77777777" w:rsidTr="00453500">
        <w:trPr>
          <w:trHeight w:val="543"/>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3BCFD" w14:textId="77777777" w:rsidR="00446F76" w:rsidRDefault="00446F76" w:rsidP="00446F76">
            <w:pPr>
              <w:rPr>
                <w:sz w:val="20"/>
                <w:szCs w:val="20"/>
                <w:lang w:eastAsia="en-US"/>
              </w:rPr>
            </w:pPr>
            <w:r>
              <w:rPr>
                <w:lang w:eastAsia="en-US"/>
              </w:rPr>
              <w:t>Home Office Executive Committee (</w:t>
            </w:r>
            <w:proofErr w:type="spellStart"/>
            <w:r>
              <w:rPr>
                <w:lang w:eastAsia="en-US"/>
              </w:rPr>
              <w:t>ExCo</w:t>
            </w:r>
            <w:proofErr w:type="spellEnd"/>
            <w:r>
              <w:rPr>
                <w:lang w:eastAsia="en-US"/>
              </w:rPr>
              <w:t xml:space="preserve">) </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62135" w14:textId="77777777" w:rsidR="00446F76" w:rsidRDefault="00446F76" w:rsidP="00446F76">
            <w:r>
              <w:t>Overall responsibility for assurance within the department including project assurance.  This is assessed through the assurance toolkit</w:t>
            </w:r>
          </w:p>
        </w:tc>
      </w:tr>
      <w:tr w:rsidR="00446F76" w14:paraId="228B4142" w14:textId="77777777" w:rsidTr="00453500">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260D" w14:textId="464B58A9" w:rsidR="00446F76" w:rsidRPr="00BE57B6" w:rsidRDefault="0079353B" w:rsidP="00446F76">
            <w:pPr>
              <w:rPr>
                <w:szCs w:val="24"/>
                <w:lang w:eastAsia="en-US"/>
              </w:rPr>
            </w:pPr>
            <w:r w:rsidRPr="00BE57B6">
              <w:rPr>
                <w:szCs w:val="24"/>
                <w:lang w:eastAsia="en-US"/>
              </w:rPr>
              <w:t>CAB</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F79AB" w14:textId="5CF51AD0" w:rsidR="00446F76" w:rsidRDefault="00BE57B6" w:rsidP="00446F76">
            <w:pPr>
              <w:rPr>
                <w:lang w:eastAsia="en-US"/>
              </w:rPr>
            </w:pPr>
            <w:r>
              <w:rPr>
                <w:lang w:eastAsia="en-US"/>
              </w:rPr>
              <w:t>Provides authority for expenditure on individual programmes and projects within the portfolio allocations</w:t>
            </w:r>
          </w:p>
        </w:tc>
      </w:tr>
      <w:tr w:rsidR="0079353B" w14:paraId="7CD0ECE7" w14:textId="77777777" w:rsidTr="00453500">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972E8" w14:textId="02BD1C3B" w:rsidR="0079353B" w:rsidRPr="00BE57B6" w:rsidDel="0079353B" w:rsidRDefault="0079353B" w:rsidP="00446F76">
            <w:pPr>
              <w:rPr>
                <w:szCs w:val="24"/>
                <w:lang w:eastAsia="en-US"/>
              </w:rPr>
            </w:pPr>
            <w:r w:rsidRPr="00BE57B6">
              <w:rPr>
                <w:szCs w:val="24"/>
                <w:lang w:eastAsia="en-US"/>
              </w:rPr>
              <w:t>TDA</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9E19C" w14:textId="3CCD3743" w:rsidR="0079353B" w:rsidRDefault="00BE57B6" w:rsidP="00446F76">
            <w:pPr>
              <w:rPr>
                <w:lang w:eastAsia="en-US"/>
              </w:rPr>
            </w:pPr>
            <w:r>
              <w:rPr>
                <w:lang w:eastAsia="en-US"/>
              </w:rPr>
              <w:t>P</w:t>
            </w:r>
            <w:r w:rsidRPr="00BE57B6">
              <w:rPr>
                <w:lang w:eastAsia="en-US"/>
              </w:rPr>
              <w:t>rovides expertise, guidance and stewardship to ensure technical organization and procedures will be joined up, consistent and that optimal outcomes are achieved</w:t>
            </w:r>
          </w:p>
        </w:tc>
      </w:tr>
      <w:tr w:rsidR="0079353B" w14:paraId="6BD38FD0" w14:textId="77777777" w:rsidTr="00453500">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A5A10" w14:textId="16F632D5" w:rsidR="0079353B" w:rsidRPr="00BE57B6" w:rsidRDefault="0079353B" w:rsidP="00446F76">
            <w:pPr>
              <w:rPr>
                <w:szCs w:val="24"/>
                <w:lang w:eastAsia="en-US"/>
              </w:rPr>
            </w:pPr>
            <w:r w:rsidRPr="00BE57B6">
              <w:rPr>
                <w:szCs w:val="24"/>
                <w:lang w:eastAsia="en-US"/>
              </w:rPr>
              <w:t>BDA</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DEB94" w14:textId="223845C2" w:rsidR="0079353B" w:rsidRDefault="00BE57B6" w:rsidP="00446F76">
            <w:pPr>
              <w:rPr>
                <w:lang w:eastAsia="en-US"/>
              </w:rPr>
            </w:pPr>
            <w:r w:rsidRPr="00BE57B6">
              <w:rPr>
                <w:lang w:eastAsia="en-US"/>
              </w:rPr>
              <w:t>provides the initial gateway for consideration of future programmes and projects, before they enter the Home Office portfolio</w:t>
            </w:r>
            <w:r>
              <w:rPr>
                <w:lang w:eastAsia="en-US"/>
              </w:rPr>
              <w:t xml:space="preserve"> to ensure strategic fit</w:t>
            </w:r>
          </w:p>
        </w:tc>
      </w:tr>
      <w:tr w:rsidR="00446F76" w14:paraId="647A0F6D" w14:textId="77777777" w:rsidTr="0090165C">
        <w:tc>
          <w:tcPr>
            <w:tcW w:w="149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D7A4F" w14:textId="4CDE203D" w:rsidR="00446F76" w:rsidRPr="0090165C" w:rsidRDefault="00446F76" w:rsidP="00446F76">
            <w:pPr>
              <w:rPr>
                <w:b/>
              </w:rPr>
            </w:pPr>
            <w:r w:rsidRPr="0090165C">
              <w:rPr>
                <w:b/>
                <w:color w:val="7030A0"/>
              </w:rPr>
              <w:t xml:space="preserve">Third </w:t>
            </w:r>
            <w:r>
              <w:rPr>
                <w:b/>
                <w:color w:val="7030A0"/>
              </w:rPr>
              <w:t>Line of Assurance</w:t>
            </w:r>
          </w:p>
        </w:tc>
      </w:tr>
      <w:tr w:rsidR="00446F76" w14:paraId="2322C53B" w14:textId="77777777" w:rsidTr="00453500">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C302F" w14:textId="5F4058D5" w:rsidR="00446F76" w:rsidRDefault="00446F76" w:rsidP="00446F76">
            <w:pPr>
              <w:rPr>
                <w:lang w:eastAsia="en-US"/>
              </w:rPr>
            </w:pPr>
            <w:r>
              <w:rPr>
                <w:lang w:eastAsia="en-US"/>
              </w:rPr>
              <w:t>Infrastructure &amp; Projects Authority (IPA)</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172A9" w14:textId="77777777" w:rsidR="00446F76" w:rsidRDefault="00446F76" w:rsidP="00446F76">
            <w:pPr>
              <w:rPr>
                <w:lang w:eastAsia="en-US"/>
              </w:rPr>
            </w:pPr>
            <w:r>
              <w:rPr>
                <w:lang w:eastAsia="en-US"/>
              </w:rPr>
              <w:t>Validates (in partnership with HM Treasury) IAAPs for highest risk major projects in the GMPP</w:t>
            </w:r>
          </w:p>
          <w:p w14:paraId="5BF89356" w14:textId="77777777" w:rsidR="00446F76" w:rsidRDefault="00446F76" w:rsidP="00446F76">
            <w:r>
              <w:rPr>
                <w:lang w:eastAsia="en-US"/>
              </w:rPr>
              <w:t>Oversight of IAAPs and monitor execution of IAAPs across the GMPP including escalation</w:t>
            </w:r>
            <w:r>
              <w:rPr>
                <w:color w:val="FF0000"/>
                <w:lang w:eastAsia="en-US"/>
              </w:rPr>
              <w:t xml:space="preserve"> </w:t>
            </w:r>
            <w:r>
              <w:rPr>
                <w:lang w:eastAsia="en-US"/>
              </w:rPr>
              <w:t xml:space="preserve">of non-compliance or slippage. </w:t>
            </w:r>
          </w:p>
          <w:p w14:paraId="6A393131" w14:textId="77777777" w:rsidR="00446F76" w:rsidRDefault="00446F76" w:rsidP="00446F76">
            <w:pPr>
              <w:rPr>
                <w:lang w:eastAsia="en-US"/>
              </w:rPr>
            </w:pPr>
            <w:r>
              <w:rPr>
                <w:lang w:eastAsia="en-US"/>
              </w:rPr>
              <w:t xml:space="preserve">Implements consequential assurance, applied support and/or intervention (as appropriate) when planned assurance identifies that a major project is in significant difficulty </w:t>
            </w:r>
          </w:p>
          <w:p w14:paraId="2F2114AC" w14:textId="77777777" w:rsidR="00446F76" w:rsidRDefault="00446F76" w:rsidP="00446F76">
            <w:r>
              <w:rPr>
                <w:lang w:eastAsia="en-US"/>
              </w:rPr>
              <w:lastRenderedPageBreak/>
              <w:t>Monitors indications of significant new initiatives which are likely to be delivered through a major project – identifies requirement for Project Validation Review</w:t>
            </w:r>
          </w:p>
        </w:tc>
      </w:tr>
      <w:tr w:rsidR="00446F76" w14:paraId="044EE3D5" w14:textId="77777777" w:rsidTr="00453500">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5926B" w14:textId="7A1629BB" w:rsidR="00446F76" w:rsidRDefault="00446F76" w:rsidP="00446F76">
            <w:r>
              <w:lastRenderedPageBreak/>
              <w:t>HM Treasury</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F02A7" w14:textId="77777777" w:rsidR="00446F76" w:rsidRDefault="00446F76" w:rsidP="00446F76">
            <w:pPr>
              <w:rPr>
                <w:lang w:eastAsia="en-US"/>
              </w:rPr>
            </w:pPr>
            <w:r>
              <w:rPr>
                <w:lang w:eastAsia="en-US"/>
              </w:rPr>
              <w:t xml:space="preserve">Monitor indications of significant new initiatives which are likely to be delivered through a major project </w:t>
            </w:r>
          </w:p>
          <w:p w14:paraId="0BB5AA9F" w14:textId="77777777" w:rsidR="00446F76" w:rsidRDefault="00446F76" w:rsidP="00446F76">
            <w:pPr>
              <w:rPr>
                <w:lang w:eastAsia="en-US"/>
              </w:rPr>
            </w:pPr>
            <w:r>
              <w:rPr>
                <w:lang w:eastAsia="en-US"/>
              </w:rPr>
              <w:t>Advises IPA about requirement(s) for appropriate assurance interventions for these emerging initiatives</w:t>
            </w:r>
          </w:p>
          <w:p w14:paraId="535F4318" w14:textId="77777777" w:rsidR="00446F76" w:rsidRDefault="00446F76" w:rsidP="00446F76">
            <w:pPr>
              <w:rPr>
                <w:lang w:eastAsia="en-US"/>
              </w:rPr>
            </w:pPr>
            <w:r>
              <w:rPr>
                <w:lang w:eastAsia="en-US"/>
              </w:rPr>
              <w:t xml:space="preserve">Indicate assurance requirements </w:t>
            </w:r>
          </w:p>
          <w:p w14:paraId="074F3272" w14:textId="089DC571" w:rsidR="00446F76" w:rsidRDefault="00446F76" w:rsidP="00446F76">
            <w:r>
              <w:rPr>
                <w:lang w:eastAsia="en-US"/>
              </w:rPr>
              <w:t>Receive assurances to inform decision making (e.g. reports)</w:t>
            </w:r>
          </w:p>
        </w:tc>
      </w:tr>
      <w:tr w:rsidR="00446F76" w14:paraId="62B93DAB" w14:textId="77777777" w:rsidTr="00453500">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7207E" w14:textId="465C4789" w:rsidR="00446F76" w:rsidRDefault="0079353B" w:rsidP="00446F76">
            <w:pPr>
              <w:rPr>
                <w:lang w:eastAsia="en-US"/>
              </w:rPr>
            </w:pPr>
            <w:r w:rsidRPr="00453500">
              <w:rPr>
                <w:lang w:eastAsia="en-US"/>
              </w:rPr>
              <w:t>GDS</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B214C" w14:textId="1DEEBA55" w:rsidR="00446F76" w:rsidRDefault="00453500" w:rsidP="00446F76">
            <w:r>
              <w:t>Carries out an independent assessment of the proposed investment and provides final approval.</w:t>
            </w:r>
          </w:p>
        </w:tc>
      </w:tr>
      <w:tr w:rsidR="0079353B" w14:paraId="57AB87AD" w14:textId="77777777" w:rsidTr="00453500">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D5FB1" w14:textId="601C52BB" w:rsidR="0079353B" w:rsidRPr="00453500" w:rsidRDefault="0079353B" w:rsidP="00446F76">
            <w:pPr>
              <w:rPr>
                <w:lang w:eastAsia="en-US"/>
              </w:rPr>
            </w:pPr>
            <w:r w:rsidRPr="00453500">
              <w:rPr>
                <w:lang w:eastAsia="en-US"/>
              </w:rPr>
              <w:t>Cabinet Office</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D0BD4" w14:textId="77EC5D16" w:rsidR="0079353B" w:rsidRPr="00453500" w:rsidRDefault="00453500" w:rsidP="00446F76">
            <w:r w:rsidRPr="00453500">
              <w:t>Make sure there is spend oversight and accountability</w:t>
            </w:r>
          </w:p>
        </w:tc>
      </w:tr>
    </w:tbl>
    <w:p w14:paraId="13B88831" w14:textId="77777777" w:rsidR="00662A2B" w:rsidRPr="00256A25" w:rsidRDefault="00662A2B" w:rsidP="00DC4A12">
      <w:bookmarkStart w:id="22" w:name="_Annex_D_–"/>
      <w:bookmarkEnd w:id="22"/>
    </w:p>
    <w:sectPr w:rsidR="00662A2B" w:rsidRPr="00256A25" w:rsidSect="002456BE">
      <w:footerReference w:type="default" r:id="rId26"/>
      <w:pgSz w:w="16838" w:h="11906" w:orient="landscape"/>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46F0B" w14:textId="77777777" w:rsidR="00453500" w:rsidRDefault="00453500" w:rsidP="00D37F7F">
      <w:pPr>
        <w:spacing w:after="0"/>
      </w:pPr>
      <w:r>
        <w:separator/>
      </w:r>
    </w:p>
  </w:endnote>
  <w:endnote w:type="continuationSeparator" w:id="0">
    <w:p w14:paraId="5E469E69" w14:textId="77777777" w:rsidR="00453500" w:rsidRDefault="00453500" w:rsidP="00D37F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E14D" w14:textId="3559F327" w:rsidR="00453500" w:rsidRDefault="00453500">
    <w:pPr>
      <w:pStyle w:val="Footer"/>
      <w:jc w:val="center"/>
    </w:pPr>
    <w:r>
      <w:t xml:space="preserve">Page </w:t>
    </w:r>
    <w:r>
      <w:rPr>
        <w:b/>
      </w:rPr>
      <w:fldChar w:fldCharType="begin"/>
    </w:r>
    <w:r>
      <w:rPr>
        <w:b/>
      </w:rPr>
      <w:instrText xml:space="preserve"> PAGE </w:instrText>
    </w:r>
    <w:r>
      <w:rPr>
        <w:b/>
      </w:rPr>
      <w:fldChar w:fldCharType="separate"/>
    </w:r>
    <w:r w:rsidR="00AD5B50">
      <w:rPr>
        <w:b/>
        <w:noProof/>
      </w:rPr>
      <w:t>9</w:t>
    </w:r>
    <w:r>
      <w:rPr>
        <w:b/>
      </w:rPr>
      <w:fldChar w:fldCharType="end"/>
    </w:r>
    <w:r>
      <w:t xml:space="preserve"> of </w:t>
    </w:r>
    <w:r>
      <w:rPr>
        <w:b/>
      </w:rPr>
      <w:fldChar w:fldCharType="begin"/>
    </w:r>
    <w:r>
      <w:rPr>
        <w:b/>
      </w:rPr>
      <w:instrText xml:space="preserve"> NUMPAGES </w:instrText>
    </w:r>
    <w:r>
      <w:rPr>
        <w:b/>
      </w:rPr>
      <w:fldChar w:fldCharType="separate"/>
    </w:r>
    <w:r w:rsidR="00AD5B50">
      <w:rPr>
        <w:b/>
        <w:noProof/>
      </w:rPr>
      <w:t>18</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9E45" w14:textId="2C09B66E" w:rsidR="00453500" w:rsidRDefault="00453500">
    <w:pPr>
      <w:pStyle w:val="Footer"/>
      <w:jc w:val="center"/>
    </w:pPr>
    <w:r>
      <w:t xml:space="preserve">Page </w:t>
    </w:r>
    <w:r>
      <w:rPr>
        <w:b/>
      </w:rPr>
      <w:fldChar w:fldCharType="begin"/>
    </w:r>
    <w:r>
      <w:rPr>
        <w:b/>
      </w:rPr>
      <w:instrText xml:space="preserve"> PAGE </w:instrText>
    </w:r>
    <w:r>
      <w:rPr>
        <w:b/>
      </w:rPr>
      <w:fldChar w:fldCharType="separate"/>
    </w:r>
    <w:r w:rsidR="00AD5B50">
      <w:rPr>
        <w:b/>
        <w:noProof/>
      </w:rPr>
      <w:t>18</w:t>
    </w:r>
    <w:r>
      <w:rPr>
        <w:b/>
      </w:rPr>
      <w:fldChar w:fldCharType="end"/>
    </w:r>
    <w:r>
      <w:t xml:space="preserve"> of </w:t>
    </w:r>
    <w:r>
      <w:rPr>
        <w:b/>
      </w:rPr>
      <w:fldChar w:fldCharType="begin"/>
    </w:r>
    <w:r>
      <w:rPr>
        <w:b/>
      </w:rPr>
      <w:instrText xml:space="preserve"> NUMPAGES </w:instrText>
    </w:r>
    <w:r>
      <w:rPr>
        <w:b/>
      </w:rPr>
      <w:fldChar w:fldCharType="separate"/>
    </w:r>
    <w:r w:rsidR="00AD5B50">
      <w:rPr>
        <w:b/>
        <w:noProof/>
      </w:rPr>
      <w:t>18</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178C3" w14:textId="77777777" w:rsidR="00453500" w:rsidRDefault="00453500" w:rsidP="00D37F7F">
      <w:pPr>
        <w:spacing w:after="0"/>
      </w:pPr>
      <w:r w:rsidRPr="00D37F7F">
        <w:rPr>
          <w:color w:val="000000"/>
        </w:rPr>
        <w:separator/>
      </w:r>
    </w:p>
  </w:footnote>
  <w:footnote w:type="continuationSeparator" w:id="0">
    <w:p w14:paraId="535B2F90" w14:textId="77777777" w:rsidR="00453500" w:rsidRDefault="00453500" w:rsidP="00D37F7F">
      <w:pPr>
        <w:spacing w:after="0"/>
      </w:pPr>
      <w:r>
        <w:continuationSeparator/>
      </w:r>
    </w:p>
  </w:footnote>
  <w:footnote w:id="1">
    <w:p w14:paraId="7244CA82" w14:textId="7677C1C3" w:rsidR="00453500" w:rsidRDefault="00453500">
      <w:pPr>
        <w:pStyle w:val="FootnoteText"/>
      </w:pPr>
      <w:r>
        <w:rPr>
          <w:rStyle w:val="FootnoteReference"/>
        </w:rPr>
        <w:footnoteRef/>
      </w:r>
      <w:r>
        <w:t xml:space="preserve"> </w:t>
      </w:r>
      <w:r>
        <w:rPr>
          <w:sz w:val="16"/>
        </w:rPr>
        <w:t>BD</w:t>
      </w:r>
      <w:r w:rsidRPr="00AF2A7A">
        <w:rPr>
          <w:sz w:val="16"/>
        </w:rPr>
        <w:t>A</w:t>
      </w:r>
      <w:r w:rsidRPr="001830AE">
        <w:rPr>
          <w:sz w:val="16"/>
        </w:rPr>
        <w:t xml:space="preserve"> supports development of work on strategic capabilities and the department’s target operating model; provides the initial gateway for consideration of future programmes and projects, before they enter the Home Office portfolio, to ensure strategic fit; takes decisions on business design issues, to ensure alignment with the department’s strategic plans and target operating model; provides governance and assurance to resolve cross-cutting business design issues.</w:t>
      </w:r>
    </w:p>
  </w:footnote>
  <w:footnote w:id="2">
    <w:p w14:paraId="457CB4B2" w14:textId="24CA4767" w:rsidR="00453500" w:rsidRDefault="00453500">
      <w:pPr>
        <w:pStyle w:val="FootnoteText"/>
      </w:pPr>
      <w:r>
        <w:rPr>
          <w:rStyle w:val="FootnoteReference"/>
        </w:rPr>
        <w:footnoteRef/>
      </w:r>
      <w:r>
        <w:t xml:space="preserve"> </w:t>
      </w:r>
      <w:r w:rsidRPr="00AF2A7A">
        <w:rPr>
          <w:sz w:val="16"/>
        </w:rPr>
        <w:t>TDA</w:t>
      </w:r>
      <w:r w:rsidRPr="001830AE">
        <w:rPr>
          <w:sz w:val="16"/>
        </w:rPr>
        <w:t xml:space="preserve"> decides how requested business servi</w:t>
      </w:r>
      <w:r>
        <w:rPr>
          <w:sz w:val="16"/>
        </w:rPr>
        <w:t xml:space="preserve">ces are best delivered across </w:t>
      </w:r>
      <w:r w:rsidRPr="001830AE">
        <w:rPr>
          <w:sz w:val="16"/>
        </w:rPr>
        <w:t>DDaT, promotes and protects strategic solutions that align with, and advance, the Home Office transformation agenda and which will create efficiencies and enhance the effectiveness of the department; provides expertise, guidance and stewardship to ensure technical organization and procedures will be joined up, consistent and that optimal outcomes are achieved and works collaboratively with technical areas on cross-cutting matters, resolving any issues and promoting synergies across the Home Office.</w:t>
      </w:r>
    </w:p>
  </w:footnote>
  <w:footnote w:id="3">
    <w:p w14:paraId="5DDBD36B" w14:textId="4C3C9AC9" w:rsidR="00453500" w:rsidRDefault="00453500">
      <w:pPr>
        <w:pStyle w:val="FootnoteText"/>
      </w:pPr>
      <w:r>
        <w:rPr>
          <w:rStyle w:val="FootnoteReference"/>
        </w:rPr>
        <w:footnoteRef/>
      </w:r>
      <w:r>
        <w:t xml:space="preserve"> </w:t>
      </w:r>
      <w:r w:rsidRPr="00AF2A7A">
        <w:rPr>
          <w:sz w:val="16"/>
        </w:rPr>
        <w:t xml:space="preserve">CAB </w:t>
      </w:r>
      <w:r w:rsidRPr="001830AE">
        <w:rPr>
          <w:sz w:val="16"/>
        </w:rPr>
        <w:t>provide</w:t>
      </w:r>
      <w:r>
        <w:rPr>
          <w:sz w:val="16"/>
        </w:rPr>
        <w:t>s</w:t>
      </w:r>
      <w:r w:rsidRPr="001830AE">
        <w:rPr>
          <w:sz w:val="16"/>
        </w:rPr>
        <w:t xml:space="preserve"> departmental assurance on commercial aspects of programme and project delivery. It also provides assurance and approvals for procurements and contract changes where the value of proposed spend is £5m+.  It provides this assurance to the business, projects, and programmes and where relevant PIC; CAB approval is a pre-requisite for approval by PIC in cases where commercial activities are present; and considers whether the commercial decision-making process is robust, and offers the best potential for high quality high value outcomes.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5262"/>
    <w:multiLevelType w:val="multilevel"/>
    <w:tmpl w:val="9692C7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8C1537"/>
    <w:multiLevelType w:val="hybridMultilevel"/>
    <w:tmpl w:val="3C6678A0"/>
    <w:lvl w:ilvl="0" w:tplc="12FA418C">
      <w:start w:val="1"/>
      <w:numFmt w:val="bullet"/>
      <w:lvlText w:val="•"/>
      <w:lvlJc w:val="left"/>
      <w:pPr>
        <w:tabs>
          <w:tab w:val="num" w:pos="360"/>
        </w:tabs>
        <w:ind w:left="360" w:hanging="360"/>
      </w:pPr>
      <w:rPr>
        <w:rFonts w:ascii="Arial" w:hAnsi="Arial" w:hint="default"/>
      </w:rPr>
    </w:lvl>
    <w:lvl w:ilvl="1" w:tplc="282694C2" w:tentative="1">
      <w:start w:val="1"/>
      <w:numFmt w:val="bullet"/>
      <w:lvlText w:val="•"/>
      <w:lvlJc w:val="left"/>
      <w:pPr>
        <w:tabs>
          <w:tab w:val="num" w:pos="1080"/>
        </w:tabs>
        <w:ind w:left="1080" w:hanging="360"/>
      </w:pPr>
      <w:rPr>
        <w:rFonts w:ascii="Arial" w:hAnsi="Arial" w:hint="default"/>
      </w:rPr>
    </w:lvl>
    <w:lvl w:ilvl="2" w:tplc="4790D02C" w:tentative="1">
      <w:start w:val="1"/>
      <w:numFmt w:val="bullet"/>
      <w:lvlText w:val="•"/>
      <w:lvlJc w:val="left"/>
      <w:pPr>
        <w:tabs>
          <w:tab w:val="num" w:pos="1800"/>
        </w:tabs>
        <w:ind w:left="1800" w:hanging="360"/>
      </w:pPr>
      <w:rPr>
        <w:rFonts w:ascii="Arial" w:hAnsi="Arial" w:hint="default"/>
      </w:rPr>
    </w:lvl>
    <w:lvl w:ilvl="3" w:tplc="DCC4E534" w:tentative="1">
      <w:start w:val="1"/>
      <w:numFmt w:val="bullet"/>
      <w:lvlText w:val="•"/>
      <w:lvlJc w:val="left"/>
      <w:pPr>
        <w:tabs>
          <w:tab w:val="num" w:pos="2520"/>
        </w:tabs>
        <w:ind w:left="2520" w:hanging="360"/>
      </w:pPr>
      <w:rPr>
        <w:rFonts w:ascii="Arial" w:hAnsi="Arial" w:hint="default"/>
      </w:rPr>
    </w:lvl>
    <w:lvl w:ilvl="4" w:tplc="B6705C96" w:tentative="1">
      <w:start w:val="1"/>
      <w:numFmt w:val="bullet"/>
      <w:lvlText w:val="•"/>
      <w:lvlJc w:val="left"/>
      <w:pPr>
        <w:tabs>
          <w:tab w:val="num" w:pos="3240"/>
        </w:tabs>
        <w:ind w:left="3240" w:hanging="360"/>
      </w:pPr>
      <w:rPr>
        <w:rFonts w:ascii="Arial" w:hAnsi="Arial" w:hint="default"/>
      </w:rPr>
    </w:lvl>
    <w:lvl w:ilvl="5" w:tplc="39B2E2F8" w:tentative="1">
      <w:start w:val="1"/>
      <w:numFmt w:val="bullet"/>
      <w:lvlText w:val="•"/>
      <w:lvlJc w:val="left"/>
      <w:pPr>
        <w:tabs>
          <w:tab w:val="num" w:pos="3960"/>
        </w:tabs>
        <w:ind w:left="3960" w:hanging="360"/>
      </w:pPr>
      <w:rPr>
        <w:rFonts w:ascii="Arial" w:hAnsi="Arial" w:hint="default"/>
      </w:rPr>
    </w:lvl>
    <w:lvl w:ilvl="6" w:tplc="FDA423D4" w:tentative="1">
      <w:start w:val="1"/>
      <w:numFmt w:val="bullet"/>
      <w:lvlText w:val="•"/>
      <w:lvlJc w:val="left"/>
      <w:pPr>
        <w:tabs>
          <w:tab w:val="num" w:pos="4680"/>
        </w:tabs>
        <w:ind w:left="4680" w:hanging="360"/>
      </w:pPr>
      <w:rPr>
        <w:rFonts w:ascii="Arial" w:hAnsi="Arial" w:hint="default"/>
      </w:rPr>
    </w:lvl>
    <w:lvl w:ilvl="7" w:tplc="044E67CA" w:tentative="1">
      <w:start w:val="1"/>
      <w:numFmt w:val="bullet"/>
      <w:lvlText w:val="•"/>
      <w:lvlJc w:val="left"/>
      <w:pPr>
        <w:tabs>
          <w:tab w:val="num" w:pos="5400"/>
        </w:tabs>
        <w:ind w:left="5400" w:hanging="360"/>
      </w:pPr>
      <w:rPr>
        <w:rFonts w:ascii="Arial" w:hAnsi="Arial" w:hint="default"/>
      </w:rPr>
    </w:lvl>
    <w:lvl w:ilvl="8" w:tplc="4D6A470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C9D611B"/>
    <w:multiLevelType w:val="hybridMultilevel"/>
    <w:tmpl w:val="2E0AAA3E"/>
    <w:lvl w:ilvl="0" w:tplc="A9E2B0EE">
      <w:start w:val="1"/>
      <w:numFmt w:val="bullet"/>
      <w:lvlText w:val="•"/>
      <w:lvlJc w:val="left"/>
      <w:pPr>
        <w:tabs>
          <w:tab w:val="num" w:pos="720"/>
        </w:tabs>
        <w:ind w:left="720" w:hanging="360"/>
      </w:pPr>
      <w:rPr>
        <w:rFonts w:ascii="Arial" w:hAnsi="Arial" w:hint="default"/>
      </w:rPr>
    </w:lvl>
    <w:lvl w:ilvl="1" w:tplc="272E93A8" w:tentative="1">
      <w:start w:val="1"/>
      <w:numFmt w:val="bullet"/>
      <w:lvlText w:val="•"/>
      <w:lvlJc w:val="left"/>
      <w:pPr>
        <w:tabs>
          <w:tab w:val="num" w:pos="1440"/>
        </w:tabs>
        <w:ind w:left="1440" w:hanging="360"/>
      </w:pPr>
      <w:rPr>
        <w:rFonts w:ascii="Arial" w:hAnsi="Arial" w:hint="default"/>
      </w:rPr>
    </w:lvl>
    <w:lvl w:ilvl="2" w:tplc="03CCE8AA" w:tentative="1">
      <w:start w:val="1"/>
      <w:numFmt w:val="bullet"/>
      <w:lvlText w:val="•"/>
      <w:lvlJc w:val="left"/>
      <w:pPr>
        <w:tabs>
          <w:tab w:val="num" w:pos="2160"/>
        </w:tabs>
        <w:ind w:left="2160" w:hanging="360"/>
      </w:pPr>
      <w:rPr>
        <w:rFonts w:ascii="Arial" w:hAnsi="Arial" w:hint="default"/>
      </w:rPr>
    </w:lvl>
    <w:lvl w:ilvl="3" w:tplc="70F84E44" w:tentative="1">
      <w:start w:val="1"/>
      <w:numFmt w:val="bullet"/>
      <w:lvlText w:val="•"/>
      <w:lvlJc w:val="left"/>
      <w:pPr>
        <w:tabs>
          <w:tab w:val="num" w:pos="2880"/>
        </w:tabs>
        <w:ind w:left="2880" w:hanging="360"/>
      </w:pPr>
      <w:rPr>
        <w:rFonts w:ascii="Arial" w:hAnsi="Arial" w:hint="default"/>
      </w:rPr>
    </w:lvl>
    <w:lvl w:ilvl="4" w:tplc="DD8E40EA" w:tentative="1">
      <w:start w:val="1"/>
      <w:numFmt w:val="bullet"/>
      <w:lvlText w:val="•"/>
      <w:lvlJc w:val="left"/>
      <w:pPr>
        <w:tabs>
          <w:tab w:val="num" w:pos="3600"/>
        </w:tabs>
        <w:ind w:left="3600" w:hanging="360"/>
      </w:pPr>
      <w:rPr>
        <w:rFonts w:ascii="Arial" w:hAnsi="Arial" w:hint="default"/>
      </w:rPr>
    </w:lvl>
    <w:lvl w:ilvl="5" w:tplc="C988099C" w:tentative="1">
      <w:start w:val="1"/>
      <w:numFmt w:val="bullet"/>
      <w:lvlText w:val="•"/>
      <w:lvlJc w:val="left"/>
      <w:pPr>
        <w:tabs>
          <w:tab w:val="num" w:pos="4320"/>
        </w:tabs>
        <w:ind w:left="4320" w:hanging="360"/>
      </w:pPr>
      <w:rPr>
        <w:rFonts w:ascii="Arial" w:hAnsi="Arial" w:hint="default"/>
      </w:rPr>
    </w:lvl>
    <w:lvl w:ilvl="6" w:tplc="15082AA0" w:tentative="1">
      <w:start w:val="1"/>
      <w:numFmt w:val="bullet"/>
      <w:lvlText w:val="•"/>
      <w:lvlJc w:val="left"/>
      <w:pPr>
        <w:tabs>
          <w:tab w:val="num" w:pos="5040"/>
        </w:tabs>
        <w:ind w:left="5040" w:hanging="360"/>
      </w:pPr>
      <w:rPr>
        <w:rFonts w:ascii="Arial" w:hAnsi="Arial" w:hint="default"/>
      </w:rPr>
    </w:lvl>
    <w:lvl w:ilvl="7" w:tplc="B0509AE4" w:tentative="1">
      <w:start w:val="1"/>
      <w:numFmt w:val="bullet"/>
      <w:lvlText w:val="•"/>
      <w:lvlJc w:val="left"/>
      <w:pPr>
        <w:tabs>
          <w:tab w:val="num" w:pos="5760"/>
        </w:tabs>
        <w:ind w:left="5760" w:hanging="360"/>
      </w:pPr>
      <w:rPr>
        <w:rFonts w:ascii="Arial" w:hAnsi="Arial" w:hint="default"/>
      </w:rPr>
    </w:lvl>
    <w:lvl w:ilvl="8" w:tplc="9AA2CE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540BDB"/>
    <w:multiLevelType w:val="hybridMultilevel"/>
    <w:tmpl w:val="E5E2B272"/>
    <w:lvl w:ilvl="0" w:tplc="35BCF5F0">
      <w:start w:val="1"/>
      <w:numFmt w:val="bullet"/>
      <w:lvlText w:val="•"/>
      <w:lvlJc w:val="left"/>
      <w:pPr>
        <w:tabs>
          <w:tab w:val="num" w:pos="720"/>
        </w:tabs>
        <w:ind w:left="720" w:hanging="360"/>
      </w:pPr>
      <w:rPr>
        <w:rFonts w:ascii="Arial" w:hAnsi="Arial" w:hint="default"/>
      </w:rPr>
    </w:lvl>
    <w:lvl w:ilvl="1" w:tplc="80B8A84C" w:tentative="1">
      <w:start w:val="1"/>
      <w:numFmt w:val="bullet"/>
      <w:lvlText w:val="•"/>
      <w:lvlJc w:val="left"/>
      <w:pPr>
        <w:tabs>
          <w:tab w:val="num" w:pos="1440"/>
        </w:tabs>
        <w:ind w:left="1440" w:hanging="360"/>
      </w:pPr>
      <w:rPr>
        <w:rFonts w:ascii="Arial" w:hAnsi="Arial" w:hint="default"/>
      </w:rPr>
    </w:lvl>
    <w:lvl w:ilvl="2" w:tplc="00F40F6E" w:tentative="1">
      <w:start w:val="1"/>
      <w:numFmt w:val="bullet"/>
      <w:lvlText w:val="•"/>
      <w:lvlJc w:val="left"/>
      <w:pPr>
        <w:tabs>
          <w:tab w:val="num" w:pos="2160"/>
        </w:tabs>
        <w:ind w:left="2160" w:hanging="360"/>
      </w:pPr>
      <w:rPr>
        <w:rFonts w:ascii="Arial" w:hAnsi="Arial" w:hint="default"/>
      </w:rPr>
    </w:lvl>
    <w:lvl w:ilvl="3" w:tplc="37C4B916" w:tentative="1">
      <w:start w:val="1"/>
      <w:numFmt w:val="bullet"/>
      <w:lvlText w:val="•"/>
      <w:lvlJc w:val="left"/>
      <w:pPr>
        <w:tabs>
          <w:tab w:val="num" w:pos="2880"/>
        </w:tabs>
        <w:ind w:left="2880" w:hanging="360"/>
      </w:pPr>
      <w:rPr>
        <w:rFonts w:ascii="Arial" w:hAnsi="Arial" w:hint="default"/>
      </w:rPr>
    </w:lvl>
    <w:lvl w:ilvl="4" w:tplc="1D523D10" w:tentative="1">
      <w:start w:val="1"/>
      <w:numFmt w:val="bullet"/>
      <w:lvlText w:val="•"/>
      <w:lvlJc w:val="left"/>
      <w:pPr>
        <w:tabs>
          <w:tab w:val="num" w:pos="3600"/>
        </w:tabs>
        <w:ind w:left="3600" w:hanging="360"/>
      </w:pPr>
      <w:rPr>
        <w:rFonts w:ascii="Arial" w:hAnsi="Arial" w:hint="default"/>
      </w:rPr>
    </w:lvl>
    <w:lvl w:ilvl="5" w:tplc="231C2C7A" w:tentative="1">
      <w:start w:val="1"/>
      <w:numFmt w:val="bullet"/>
      <w:lvlText w:val="•"/>
      <w:lvlJc w:val="left"/>
      <w:pPr>
        <w:tabs>
          <w:tab w:val="num" w:pos="4320"/>
        </w:tabs>
        <w:ind w:left="4320" w:hanging="360"/>
      </w:pPr>
      <w:rPr>
        <w:rFonts w:ascii="Arial" w:hAnsi="Arial" w:hint="default"/>
      </w:rPr>
    </w:lvl>
    <w:lvl w:ilvl="6" w:tplc="C6624E36" w:tentative="1">
      <w:start w:val="1"/>
      <w:numFmt w:val="bullet"/>
      <w:lvlText w:val="•"/>
      <w:lvlJc w:val="left"/>
      <w:pPr>
        <w:tabs>
          <w:tab w:val="num" w:pos="5040"/>
        </w:tabs>
        <w:ind w:left="5040" w:hanging="360"/>
      </w:pPr>
      <w:rPr>
        <w:rFonts w:ascii="Arial" w:hAnsi="Arial" w:hint="default"/>
      </w:rPr>
    </w:lvl>
    <w:lvl w:ilvl="7" w:tplc="DD98AE22" w:tentative="1">
      <w:start w:val="1"/>
      <w:numFmt w:val="bullet"/>
      <w:lvlText w:val="•"/>
      <w:lvlJc w:val="left"/>
      <w:pPr>
        <w:tabs>
          <w:tab w:val="num" w:pos="5760"/>
        </w:tabs>
        <w:ind w:left="5760" w:hanging="360"/>
      </w:pPr>
      <w:rPr>
        <w:rFonts w:ascii="Arial" w:hAnsi="Arial" w:hint="default"/>
      </w:rPr>
    </w:lvl>
    <w:lvl w:ilvl="8" w:tplc="FF82E9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F75DB4"/>
    <w:multiLevelType w:val="hybridMultilevel"/>
    <w:tmpl w:val="FFDE7568"/>
    <w:lvl w:ilvl="0" w:tplc="8E443DFA">
      <w:start w:val="1"/>
      <w:numFmt w:val="bullet"/>
      <w:lvlText w:val="•"/>
      <w:lvlJc w:val="left"/>
      <w:pPr>
        <w:tabs>
          <w:tab w:val="num" w:pos="720"/>
        </w:tabs>
        <w:ind w:left="720" w:hanging="360"/>
      </w:pPr>
      <w:rPr>
        <w:rFonts w:ascii="Arial" w:hAnsi="Arial" w:hint="default"/>
      </w:rPr>
    </w:lvl>
    <w:lvl w:ilvl="1" w:tplc="12AEDC5E" w:tentative="1">
      <w:start w:val="1"/>
      <w:numFmt w:val="bullet"/>
      <w:lvlText w:val="•"/>
      <w:lvlJc w:val="left"/>
      <w:pPr>
        <w:tabs>
          <w:tab w:val="num" w:pos="1440"/>
        </w:tabs>
        <w:ind w:left="1440" w:hanging="360"/>
      </w:pPr>
      <w:rPr>
        <w:rFonts w:ascii="Arial" w:hAnsi="Arial" w:hint="default"/>
      </w:rPr>
    </w:lvl>
    <w:lvl w:ilvl="2" w:tplc="B27E2652" w:tentative="1">
      <w:start w:val="1"/>
      <w:numFmt w:val="bullet"/>
      <w:lvlText w:val="•"/>
      <w:lvlJc w:val="left"/>
      <w:pPr>
        <w:tabs>
          <w:tab w:val="num" w:pos="2160"/>
        </w:tabs>
        <w:ind w:left="2160" w:hanging="360"/>
      </w:pPr>
      <w:rPr>
        <w:rFonts w:ascii="Arial" w:hAnsi="Arial" w:hint="default"/>
      </w:rPr>
    </w:lvl>
    <w:lvl w:ilvl="3" w:tplc="83F6E5E4" w:tentative="1">
      <w:start w:val="1"/>
      <w:numFmt w:val="bullet"/>
      <w:lvlText w:val="•"/>
      <w:lvlJc w:val="left"/>
      <w:pPr>
        <w:tabs>
          <w:tab w:val="num" w:pos="2880"/>
        </w:tabs>
        <w:ind w:left="2880" w:hanging="360"/>
      </w:pPr>
      <w:rPr>
        <w:rFonts w:ascii="Arial" w:hAnsi="Arial" w:hint="default"/>
      </w:rPr>
    </w:lvl>
    <w:lvl w:ilvl="4" w:tplc="1B0E5FFC" w:tentative="1">
      <w:start w:val="1"/>
      <w:numFmt w:val="bullet"/>
      <w:lvlText w:val="•"/>
      <w:lvlJc w:val="left"/>
      <w:pPr>
        <w:tabs>
          <w:tab w:val="num" w:pos="3600"/>
        </w:tabs>
        <w:ind w:left="3600" w:hanging="360"/>
      </w:pPr>
      <w:rPr>
        <w:rFonts w:ascii="Arial" w:hAnsi="Arial" w:hint="default"/>
      </w:rPr>
    </w:lvl>
    <w:lvl w:ilvl="5" w:tplc="E348C1C8" w:tentative="1">
      <w:start w:val="1"/>
      <w:numFmt w:val="bullet"/>
      <w:lvlText w:val="•"/>
      <w:lvlJc w:val="left"/>
      <w:pPr>
        <w:tabs>
          <w:tab w:val="num" w:pos="4320"/>
        </w:tabs>
        <w:ind w:left="4320" w:hanging="360"/>
      </w:pPr>
      <w:rPr>
        <w:rFonts w:ascii="Arial" w:hAnsi="Arial" w:hint="default"/>
      </w:rPr>
    </w:lvl>
    <w:lvl w:ilvl="6" w:tplc="A4D04952" w:tentative="1">
      <w:start w:val="1"/>
      <w:numFmt w:val="bullet"/>
      <w:lvlText w:val="•"/>
      <w:lvlJc w:val="left"/>
      <w:pPr>
        <w:tabs>
          <w:tab w:val="num" w:pos="5040"/>
        </w:tabs>
        <w:ind w:left="5040" w:hanging="360"/>
      </w:pPr>
      <w:rPr>
        <w:rFonts w:ascii="Arial" w:hAnsi="Arial" w:hint="default"/>
      </w:rPr>
    </w:lvl>
    <w:lvl w:ilvl="7" w:tplc="20887D2C" w:tentative="1">
      <w:start w:val="1"/>
      <w:numFmt w:val="bullet"/>
      <w:lvlText w:val="•"/>
      <w:lvlJc w:val="left"/>
      <w:pPr>
        <w:tabs>
          <w:tab w:val="num" w:pos="5760"/>
        </w:tabs>
        <w:ind w:left="5760" w:hanging="360"/>
      </w:pPr>
      <w:rPr>
        <w:rFonts w:ascii="Arial" w:hAnsi="Arial" w:hint="default"/>
      </w:rPr>
    </w:lvl>
    <w:lvl w:ilvl="8" w:tplc="A82E6F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0C55F8"/>
    <w:multiLevelType w:val="hybridMultilevel"/>
    <w:tmpl w:val="BD8673E0"/>
    <w:lvl w:ilvl="0" w:tplc="CA525C6E">
      <w:start w:val="1"/>
      <w:numFmt w:val="bullet"/>
      <w:lvlText w:val="•"/>
      <w:lvlJc w:val="left"/>
      <w:pPr>
        <w:tabs>
          <w:tab w:val="num" w:pos="720"/>
        </w:tabs>
        <w:ind w:left="720" w:hanging="360"/>
      </w:pPr>
      <w:rPr>
        <w:rFonts w:ascii="Times New Roman" w:hAnsi="Times New Roman" w:hint="default"/>
      </w:rPr>
    </w:lvl>
    <w:lvl w:ilvl="1" w:tplc="72FEFA74" w:tentative="1">
      <w:start w:val="1"/>
      <w:numFmt w:val="bullet"/>
      <w:lvlText w:val="•"/>
      <w:lvlJc w:val="left"/>
      <w:pPr>
        <w:tabs>
          <w:tab w:val="num" w:pos="1440"/>
        </w:tabs>
        <w:ind w:left="1440" w:hanging="360"/>
      </w:pPr>
      <w:rPr>
        <w:rFonts w:ascii="Times New Roman" w:hAnsi="Times New Roman" w:hint="default"/>
      </w:rPr>
    </w:lvl>
    <w:lvl w:ilvl="2" w:tplc="F280E120" w:tentative="1">
      <w:start w:val="1"/>
      <w:numFmt w:val="bullet"/>
      <w:lvlText w:val="•"/>
      <w:lvlJc w:val="left"/>
      <w:pPr>
        <w:tabs>
          <w:tab w:val="num" w:pos="2160"/>
        </w:tabs>
        <w:ind w:left="2160" w:hanging="360"/>
      </w:pPr>
      <w:rPr>
        <w:rFonts w:ascii="Times New Roman" w:hAnsi="Times New Roman" w:hint="default"/>
      </w:rPr>
    </w:lvl>
    <w:lvl w:ilvl="3" w:tplc="13AE62F0" w:tentative="1">
      <w:start w:val="1"/>
      <w:numFmt w:val="bullet"/>
      <w:lvlText w:val="•"/>
      <w:lvlJc w:val="left"/>
      <w:pPr>
        <w:tabs>
          <w:tab w:val="num" w:pos="2880"/>
        </w:tabs>
        <w:ind w:left="2880" w:hanging="360"/>
      </w:pPr>
      <w:rPr>
        <w:rFonts w:ascii="Times New Roman" w:hAnsi="Times New Roman" w:hint="default"/>
      </w:rPr>
    </w:lvl>
    <w:lvl w:ilvl="4" w:tplc="EDBCDEFE" w:tentative="1">
      <w:start w:val="1"/>
      <w:numFmt w:val="bullet"/>
      <w:lvlText w:val="•"/>
      <w:lvlJc w:val="left"/>
      <w:pPr>
        <w:tabs>
          <w:tab w:val="num" w:pos="3600"/>
        </w:tabs>
        <w:ind w:left="3600" w:hanging="360"/>
      </w:pPr>
      <w:rPr>
        <w:rFonts w:ascii="Times New Roman" w:hAnsi="Times New Roman" w:hint="default"/>
      </w:rPr>
    </w:lvl>
    <w:lvl w:ilvl="5" w:tplc="55D08F9A" w:tentative="1">
      <w:start w:val="1"/>
      <w:numFmt w:val="bullet"/>
      <w:lvlText w:val="•"/>
      <w:lvlJc w:val="left"/>
      <w:pPr>
        <w:tabs>
          <w:tab w:val="num" w:pos="4320"/>
        </w:tabs>
        <w:ind w:left="4320" w:hanging="360"/>
      </w:pPr>
      <w:rPr>
        <w:rFonts w:ascii="Times New Roman" w:hAnsi="Times New Roman" w:hint="default"/>
      </w:rPr>
    </w:lvl>
    <w:lvl w:ilvl="6" w:tplc="91666E64" w:tentative="1">
      <w:start w:val="1"/>
      <w:numFmt w:val="bullet"/>
      <w:lvlText w:val="•"/>
      <w:lvlJc w:val="left"/>
      <w:pPr>
        <w:tabs>
          <w:tab w:val="num" w:pos="5040"/>
        </w:tabs>
        <w:ind w:left="5040" w:hanging="360"/>
      </w:pPr>
      <w:rPr>
        <w:rFonts w:ascii="Times New Roman" w:hAnsi="Times New Roman" w:hint="default"/>
      </w:rPr>
    </w:lvl>
    <w:lvl w:ilvl="7" w:tplc="6F80DFEE" w:tentative="1">
      <w:start w:val="1"/>
      <w:numFmt w:val="bullet"/>
      <w:lvlText w:val="•"/>
      <w:lvlJc w:val="left"/>
      <w:pPr>
        <w:tabs>
          <w:tab w:val="num" w:pos="5760"/>
        </w:tabs>
        <w:ind w:left="5760" w:hanging="360"/>
      </w:pPr>
      <w:rPr>
        <w:rFonts w:ascii="Times New Roman" w:hAnsi="Times New Roman" w:hint="default"/>
      </w:rPr>
    </w:lvl>
    <w:lvl w:ilvl="8" w:tplc="52E4660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432008F"/>
    <w:multiLevelType w:val="hybridMultilevel"/>
    <w:tmpl w:val="8A32091C"/>
    <w:lvl w:ilvl="0" w:tplc="032C12EA">
      <w:start w:val="1"/>
      <w:numFmt w:val="bullet"/>
      <w:lvlText w:val="•"/>
      <w:lvlJc w:val="left"/>
      <w:pPr>
        <w:tabs>
          <w:tab w:val="num" w:pos="720"/>
        </w:tabs>
        <w:ind w:left="720" w:hanging="360"/>
      </w:pPr>
      <w:rPr>
        <w:rFonts w:ascii="Arial" w:hAnsi="Arial" w:hint="default"/>
      </w:rPr>
    </w:lvl>
    <w:lvl w:ilvl="1" w:tplc="FE34B7F0">
      <w:numFmt w:val="bullet"/>
      <w:lvlText w:val="o"/>
      <w:lvlJc w:val="left"/>
      <w:pPr>
        <w:tabs>
          <w:tab w:val="num" w:pos="1440"/>
        </w:tabs>
        <w:ind w:left="1440" w:hanging="360"/>
      </w:pPr>
      <w:rPr>
        <w:rFonts w:ascii="Courier New" w:hAnsi="Courier New" w:hint="default"/>
      </w:rPr>
    </w:lvl>
    <w:lvl w:ilvl="2" w:tplc="23C45F36" w:tentative="1">
      <w:start w:val="1"/>
      <w:numFmt w:val="bullet"/>
      <w:lvlText w:val="•"/>
      <w:lvlJc w:val="left"/>
      <w:pPr>
        <w:tabs>
          <w:tab w:val="num" w:pos="2160"/>
        </w:tabs>
        <w:ind w:left="2160" w:hanging="360"/>
      </w:pPr>
      <w:rPr>
        <w:rFonts w:ascii="Arial" w:hAnsi="Arial" w:hint="default"/>
      </w:rPr>
    </w:lvl>
    <w:lvl w:ilvl="3" w:tplc="1082C5EC" w:tentative="1">
      <w:start w:val="1"/>
      <w:numFmt w:val="bullet"/>
      <w:lvlText w:val="•"/>
      <w:lvlJc w:val="left"/>
      <w:pPr>
        <w:tabs>
          <w:tab w:val="num" w:pos="2880"/>
        </w:tabs>
        <w:ind w:left="2880" w:hanging="360"/>
      </w:pPr>
      <w:rPr>
        <w:rFonts w:ascii="Arial" w:hAnsi="Arial" w:hint="default"/>
      </w:rPr>
    </w:lvl>
    <w:lvl w:ilvl="4" w:tplc="76C4B8CC" w:tentative="1">
      <w:start w:val="1"/>
      <w:numFmt w:val="bullet"/>
      <w:lvlText w:val="•"/>
      <w:lvlJc w:val="left"/>
      <w:pPr>
        <w:tabs>
          <w:tab w:val="num" w:pos="3600"/>
        </w:tabs>
        <w:ind w:left="3600" w:hanging="360"/>
      </w:pPr>
      <w:rPr>
        <w:rFonts w:ascii="Arial" w:hAnsi="Arial" w:hint="default"/>
      </w:rPr>
    </w:lvl>
    <w:lvl w:ilvl="5" w:tplc="EFBC9308" w:tentative="1">
      <w:start w:val="1"/>
      <w:numFmt w:val="bullet"/>
      <w:lvlText w:val="•"/>
      <w:lvlJc w:val="left"/>
      <w:pPr>
        <w:tabs>
          <w:tab w:val="num" w:pos="4320"/>
        </w:tabs>
        <w:ind w:left="4320" w:hanging="360"/>
      </w:pPr>
      <w:rPr>
        <w:rFonts w:ascii="Arial" w:hAnsi="Arial" w:hint="default"/>
      </w:rPr>
    </w:lvl>
    <w:lvl w:ilvl="6" w:tplc="113A5E56" w:tentative="1">
      <w:start w:val="1"/>
      <w:numFmt w:val="bullet"/>
      <w:lvlText w:val="•"/>
      <w:lvlJc w:val="left"/>
      <w:pPr>
        <w:tabs>
          <w:tab w:val="num" w:pos="5040"/>
        </w:tabs>
        <w:ind w:left="5040" w:hanging="360"/>
      </w:pPr>
      <w:rPr>
        <w:rFonts w:ascii="Arial" w:hAnsi="Arial" w:hint="default"/>
      </w:rPr>
    </w:lvl>
    <w:lvl w:ilvl="7" w:tplc="A5CC0A7E" w:tentative="1">
      <w:start w:val="1"/>
      <w:numFmt w:val="bullet"/>
      <w:lvlText w:val="•"/>
      <w:lvlJc w:val="left"/>
      <w:pPr>
        <w:tabs>
          <w:tab w:val="num" w:pos="5760"/>
        </w:tabs>
        <w:ind w:left="5760" w:hanging="360"/>
      </w:pPr>
      <w:rPr>
        <w:rFonts w:ascii="Arial" w:hAnsi="Arial" w:hint="default"/>
      </w:rPr>
    </w:lvl>
    <w:lvl w:ilvl="8" w:tplc="F9AE21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DE7431"/>
    <w:multiLevelType w:val="hybridMultilevel"/>
    <w:tmpl w:val="7758DD94"/>
    <w:lvl w:ilvl="0" w:tplc="04BC13F6">
      <w:start w:val="1"/>
      <w:numFmt w:val="bullet"/>
      <w:lvlText w:val="•"/>
      <w:lvlJc w:val="left"/>
      <w:pPr>
        <w:tabs>
          <w:tab w:val="num" w:pos="720"/>
        </w:tabs>
        <w:ind w:left="720" w:hanging="360"/>
      </w:pPr>
      <w:rPr>
        <w:rFonts w:ascii="Arial" w:hAnsi="Arial" w:hint="default"/>
      </w:rPr>
    </w:lvl>
    <w:lvl w:ilvl="1" w:tplc="274A8C0A" w:tentative="1">
      <w:start w:val="1"/>
      <w:numFmt w:val="bullet"/>
      <w:lvlText w:val="•"/>
      <w:lvlJc w:val="left"/>
      <w:pPr>
        <w:tabs>
          <w:tab w:val="num" w:pos="1440"/>
        </w:tabs>
        <w:ind w:left="1440" w:hanging="360"/>
      </w:pPr>
      <w:rPr>
        <w:rFonts w:ascii="Arial" w:hAnsi="Arial" w:hint="default"/>
      </w:rPr>
    </w:lvl>
    <w:lvl w:ilvl="2" w:tplc="F8A2EFC2" w:tentative="1">
      <w:start w:val="1"/>
      <w:numFmt w:val="bullet"/>
      <w:lvlText w:val="•"/>
      <w:lvlJc w:val="left"/>
      <w:pPr>
        <w:tabs>
          <w:tab w:val="num" w:pos="2160"/>
        </w:tabs>
        <w:ind w:left="2160" w:hanging="360"/>
      </w:pPr>
      <w:rPr>
        <w:rFonts w:ascii="Arial" w:hAnsi="Arial" w:hint="default"/>
      </w:rPr>
    </w:lvl>
    <w:lvl w:ilvl="3" w:tplc="88C0C6B0" w:tentative="1">
      <w:start w:val="1"/>
      <w:numFmt w:val="bullet"/>
      <w:lvlText w:val="•"/>
      <w:lvlJc w:val="left"/>
      <w:pPr>
        <w:tabs>
          <w:tab w:val="num" w:pos="2880"/>
        </w:tabs>
        <w:ind w:left="2880" w:hanging="360"/>
      </w:pPr>
      <w:rPr>
        <w:rFonts w:ascii="Arial" w:hAnsi="Arial" w:hint="default"/>
      </w:rPr>
    </w:lvl>
    <w:lvl w:ilvl="4" w:tplc="C3CC1ADC" w:tentative="1">
      <w:start w:val="1"/>
      <w:numFmt w:val="bullet"/>
      <w:lvlText w:val="•"/>
      <w:lvlJc w:val="left"/>
      <w:pPr>
        <w:tabs>
          <w:tab w:val="num" w:pos="3600"/>
        </w:tabs>
        <w:ind w:left="3600" w:hanging="360"/>
      </w:pPr>
      <w:rPr>
        <w:rFonts w:ascii="Arial" w:hAnsi="Arial" w:hint="default"/>
      </w:rPr>
    </w:lvl>
    <w:lvl w:ilvl="5" w:tplc="CEB4510C" w:tentative="1">
      <w:start w:val="1"/>
      <w:numFmt w:val="bullet"/>
      <w:lvlText w:val="•"/>
      <w:lvlJc w:val="left"/>
      <w:pPr>
        <w:tabs>
          <w:tab w:val="num" w:pos="4320"/>
        </w:tabs>
        <w:ind w:left="4320" w:hanging="360"/>
      </w:pPr>
      <w:rPr>
        <w:rFonts w:ascii="Arial" w:hAnsi="Arial" w:hint="default"/>
      </w:rPr>
    </w:lvl>
    <w:lvl w:ilvl="6" w:tplc="93385E18" w:tentative="1">
      <w:start w:val="1"/>
      <w:numFmt w:val="bullet"/>
      <w:lvlText w:val="•"/>
      <w:lvlJc w:val="left"/>
      <w:pPr>
        <w:tabs>
          <w:tab w:val="num" w:pos="5040"/>
        </w:tabs>
        <w:ind w:left="5040" w:hanging="360"/>
      </w:pPr>
      <w:rPr>
        <w:rFonts w:ascii="Arial" w:hAnsi="Arial" w:hint="default"/>
      </w:rPr>
    </w:lvl>
    <w:lvl w:ilvl="7" w:tplc="3020BAA0" w:tentative="1">
      <w:start w:val="1"/>
      <w:numFmt w:val="bullet"/>
      <w:lvlText w:val="•"/>
      <w:lvlJc w:val="left"/>
      <w:pPr>
        <w:tabs>
          <w:tab w:val="num" w:pos="5760"/>
        </w:tabs>
        <w:ind w:left="5760" w:hanging="360"/>
      </w:pPr>
      <w:rPr>
        <w:rFonts w:ascii="Arial" w:hAnsi="Arial" w:hint="default"/>
      </w:rPr>
    </w:lvl>
    <w:lvl w:ilvl="8" w:tplc="00F075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963A17"/>
    <w:multiLevelType w:val="multilevel"/>
    <w:tmpl w:val="7D1E8698"/>
    <w:lvl w:ilvl="0">
      <w:numFmt w:val="bullet"/>
      <w:lvlText w:val=""/>
      <w:lvlJc w:val="left"/>
      <w:pPr>
        <w:ind w:left="751" w:hanging="360"/>
      </w:pPr>
      <w:rPr>
        <w:rFonts w:ascii="Symbol" w:hAnsi="Symbol"/>
      </w:rPr>
    </w:lvl>
    <w:lvl w:ilvl="1">
      <w:start w:val="1"/>
      <w:numFmt w:val="lowerLetter"/>
      <w:lvlText w:val="%2."/>
      <w:lvlJc w:val="left"/>
      <w:pPr>
        <w:ind w:left="1471" w:hanging="360"/>
      </w:pPr>
    </w:lvl>
    <w:lvl w:ilvl="2">
      <w:start w:val="1"/>
      <w:numFmt w:val="lowerRoman"/>
      <w:lvlText w:val="%3."/>
      <w:lvlJc w:val="right"/>
      <w:pPr>
        <w:ind w:left="2191" w:hanging="180"/>
      </w:pPr>
    </w:lvl>
    <w:lvl w:ilvl="3">
      <w:start w:val="1"/>
      <w:numFmt w:val="decimal"/>
      <w:lvlText w:val="%4."/>
      <w:lvlJc w:val="left"/>
      <w:pPr>
        <w:ind w:left="1712" w:hanging="360"/>
      </w:pPr>
    </w:lvl>
    <w:lvl w:ilvl="4">
      <w:start w:val="1"/>
      <w:numFmt w:val="lowerLetter"/>
      <w:lvlText w:val="%5."/>
      <w:lvlJc w:val="left"/>
      <w:pPr>
        <w:ind w:left="3631" w:hanging="360"/>
      </w:pPr>
    </w:lvl>
    <w:lvl w:ilvl="5">
      <w:start w:val="1"/>
      <w:numFmt w:val="lowerRoman"/>
      <w:lvlText w:val="%6."/>
      <w:lvlJc w:val="right"/>
      <w:pPr>
        <w:ind w:left="4351" w:hanging="180"/>
      </w:pPr>
    </w:lvl>
    <w:lvl w:ilvl="6">
      <w:start w:val="1"/>
      <w:numFmt w:val="decimal"/>
      <w:lvlText w:val="%7."/>
      <w:lvlJc w:val="left"/>
      <w:pPr>
        <w:ind w:left="5071" w:hanging="360"/>
      </w:pPr>
    </w:lvl>
    <w:lvl w:ilvl="7">
      <w:start w:val="1"/>
      <w:numFmt w:val="lowerLetter"/>
      <w:lvlText w:val="%8."/>
      <w:lvlJc w:val="left"/>
      <w:pPr>
        <w:ind w:left="5791" w:hanging="360"/>
      </w:pPr>
    </w:lvl>
    <w:lvl w:ilvl="8">
      <w:start w:val="1"/>
      <w:numFmt w:val="lowerRoman"/>
      <w:lvlText w:val="%9."/>
      <w:lvlJc w:val="right"/>
      <w:pPr>
        <w:ind w:left="6511" w:hanging="180"/>
      </w:pPr>
    </w:lvl>
  </w:abstractNum>
  <w:abstractNum w:abstractNumId="9" w15:restartNumberingAfterBreak="0">
    <w:nsid w:val="6E94049A"/>
    <w:multiLevelType w:val="hybridMultilevel"/>
    <w:tmpl w:val="8E76E0BA"/>
    <w:lvl w:ilvl="0" w:tplc="FB3CF436">
      <w:start w:val="1"/>
      <w:numFmt w:val="bullet"/>
      <w:lvlText w:val="•"/>
      <w:lvlJc w:val="left"/>
      <w:pPr>
        <w:tabs>
          <w:tab w:val="num" w:pos="720"/>
        </w:tabs>
        <w:ind w:left="720" w:hanging="360"/>
      </w:pPr>
      <w:rPr>
        <w:rFonts w:ascii="Arial" w:hAnsi="Arial" w:hint="default"/>
      </w:rPr>
    </w:lvl>
    <w:lvl w:ilvl="1" w:tplc="4FF2783C">
      <w:start w:val="1"/>
      <w:numFmt w:val="lowerRoman"/>
      <w:lvlText w:val="%2."/>
      <w:lvlJc w:val="right"/>
      <w:pPr>
        <w:tabs>
          <w:tab w:val="num" w:pos="1440"/>
        </w:tabs>
        <w:ind w:left="1440" w:hanging="360"/>
      </w:pPr>
    </w:lvl>
    <w:lvl w:ilvl="2" w:tplc="274E451E" w:tentative="1">
      <w:start w:val="1"/>
      <w:numFmt w:val="bullet"/>
      <w:lvlText w:val="•"/>
      <w:lvlJc w:val="left"/>
      <w:pPr>
        <w:tabs>
          <w:tab w:val="num" w:pos="2160"/>
        </w:tabs>
        <w:ind w:left="2160" w:hanging="360"/>
      </w:pPr>
      <w:rPr>
        <w:rFonts w:ascii="Arial" w:hAnsi="Arial" w:hint="default"/>
      </w:rPr>
    </w:lvl>
    <w:lvl w:ilvl="3" w:tplc="0D5A82B6" w:tentative="1">
      <w:start w:val="1"/>
      <w:numFmt w:val="bullet"/>
      <w:lvlText w:val="•"/>
      <w:lvlJc w:val="left"/>
      <w:pPr>
        <w:tabs>
          <w:tab w:val="num" w:pos="2880"/>
        </w:tabs>
        <w:ind w:left="2880" w:hanging="360"/>
      </w:pPr>
      <w:rPr>
        <w:rFonts w:ascii="Arial" w:hAnsi="Arial" w:hint="default"/>
      </w:rPr>
    </w:lvl>
    <w:lvl w:ilvl="4" w:tplc="FFA4C25C" w:tentative="1">
      <w:start w:val="1"/>
      <w:numFmt w:val="bullet"/>
      <w:lvlText w:val="•"/>
      <w:lvlJc w:val="left"/>
      <w:pPr>
        <w:tabs>
          <w:tab w:val="num" w:pos="3600"/>
        </w:tabs>
        <w:ind w:left="3600" w:hanging="360"/>
      </w:pPr>
      <w:rPr>
        <w:rFonts w:ascii="Arial" w:hAnsi="Arial" w:hint="default"/>
      </w:rPr>
    </w:lvl>
    <w:lvl w:ilvl="5" w:tplc="BF0E168E" w:tentative="1">
      <w:start w:val="1"/>
      <w:numFmt w:val="bullet"/>
      <w:lvlText w:val="•"/>
      <w:lvlJc w:val="left"/>
      <w:pPr>
        <w:tabs>
          <w:tab w:val="num" w:pos="4320"/>
        </w:tabs>
        <w:ind w:left="4320" w:hanging="360"/>
      </w:pPr>
      <w:rPr>
        <w:rFonts w:ascii="Arial" w:hAnsi="Arial" w:hint="default"/>
      </w:rPr>
    </w:lvl>
    <w:lvl w:ilvl="6" w:tplc="B4F80470" w:tentative="1">
      <w:start w:val="1"/>
      <w:numFmt w:val="bullet"/>
      <w:lvlText w:val="•"/>
      <w:lvlJc w:val="left"/>
      <w:pPr>
        <w:tabs>
          <w:tab w:val="num" w:pos="5040"/>
        </w:tabs>
        <w:ind w:left="5040" w:hanging="360"/>
      </w:pPr>
      <w:rPr>
        <w:rFonts w:ascii="Arial" w:hAnsi="Arial" w:hint="default"/>
      </w:rPr>
    </w:lvl>
    <w:lvl w:ilvl="7" w:tplc="A630ECEE" w:tentative="1">
      <w:start w:val="1"/>
      <w:numFmt w:val="bullet"/>
      <w:lvlText w:val="•"/>
      <w:lvlJc w:val="left"/>
      <w:pPr>
        <w:tabs>
          <w:tab w:val="num" w:pos="5760"/>
        </w:tabs>
        <w:ind w:left="5760" w:hanging="360"/>
      </w:pPr>
      <w:rPr>
        <w:rFonts w:ascii="Arial" w:hAnsi="Arial" w:hint="default"/>
      </w:rPr>
    </w:lvl>
    <w:lvl w:ilvl="8" w:tplc="FFCCBA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8841EA"/>
    <w:multiLevelType w:val="hybridMultilevel"/>
    <w:tmpl w:val="F36E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94875"/>
    <w:multiLevelType w:val="multilevel"/>
    <w:tmpl w:val="0688D3E2"/>
    <w:lvl w:ilvl="0">
      <w:numFmt w:val="bullet"/>
      <w:lvlText w:val=""/>
      <w:lvlJc w:val="left"/>
      <w:pPr>
        <w:ind w:left="754" w:hanging="360"/>
      </w:pPr>
      <w:rPr>
        <w:rFonts w:ascii="Symbol" w:hAnsi="Symbol"/>
      </w:rPr>
    </w:lvl>
    <w:lvl w:ilvl="1">
      <w:numFmt w:val="bullet"/>
      <w:lvlText w:val="o"/>
      <w:lvlJc w:val="left"/>
      <w:pPr>
        <w:ind w:left="1474" w:hanging="360"/>
      </w:pPr>
      <w:rPr>
        <w:rFonts w:ascii="Courier New" w:hAnsi="Courier New" w:cs="Courier New"/>
      </w:rPr>
    </w:lvl>
    <w:lvl w:ilvl="2">
      <w:numFmt w:val="bullet"/>
      <w:lvlText w:val=""/>
      <w:lvlJc w:val="left"/>
      <w:pPr>
        <w:ind w:left="2194" w:hanging="360"/>
      </w:pPr>
      <w:rPr>
        <w:rFonts w:ascii="Wingdings" w:hAnsi="Wingdings"/>
      </w:rPr>
    </w:lvl>
    <w:lvl w:ilvl="3">
      <w:numFmt w:val="bullet"/>
      <w:lvlText w:val=""/>
      <w:lvlJc w:val="left"/>
      <w:pPr>
        <w:ind w:left="2914" w:hanging="360"/>
      </w:pPr>
      <w:rPr>
        <w:rFonts w:ascii="Symbol" w:hAnsi="Symbol"/>
      </w:rPr>
    </w:lvl>
    <w:lvl w:ilvl="4">
      <w:numFmt w:val="bullet"/>
      <w:lvlText w:val="o"/>
      <w:lvlJc w:val="left"/>
      <w:pPr>
        <w:ind w:left="3634" w:hanging="360"/>
      </w:pPr>
      <w:rPr>
        <w:rFonts w:ascii="Courier New" w:hAnsi="Courier New" w:cs="Courier New"/>
      </w:rPr>
    </w:lvl>
    <w:lvl w:ilvl="5">
      <w:numFmt w:val="bullet"/>
      <w:lvlText w:val=""/>
      <w:lvlJc w:val="left"/>
      <w:pPr>
        <w:ind w:left="4354" w:hanging="360"/>
      </w:pPr>
      <w:rPr>
        <w:rFonts w:ascii="Wingdings" w:hAnsi="Wingdings"/>
      </w:rPr>
    </w:lvl>
    <w:lvl w:ilvl="6">
      <w:numFmt w:val="bullet"/>
      <w:lvlText w:val=""/>
      <w:lvlJc w:val="left"/>
      <w:pPr>
        <w:ind w:left="5074" w:hanging="360"/>
      </w:pPr>
      <w:rPr>
        <w:rFonts w:ascii="Symbol" w:hAnsi="Symbol"/>
      </w:rPr>
    </w:lvl>
    <w:lvl w:ilvl="7">
      <w:numFmt w:val="bullet"/>
      <w:lvlText w:val="o"/>
      <w:lvlJc w:val="left"/>
      <w:pPr>
        <w:ind w:left="5794" w:hanging="360"/>
      </w:pPr>
      <w:rPr>
        <w:rFonts w:ascii="Courier New" w:hAnsi="Courier New" w:cs="Courier New"/>
      </w:rPr>
    </w:lvl>
    <w:lvl w:ilvl="8">
      <w:numFmt w:val="bullet"/>
      <w:lvlText w:val=""/>
      <w:lvlJc w:val="left"/>
      <w:pPr>
        <w:ind w:left="6514" w:hanging="360"/>
      </w:pPr>
      <w:rPr>
        <w:rFonts w:ascii="Wingdings" w:hAnsi="Wingdings"/>
      </w:rPr>
    </w:lvl>
  </w:abstractNum>
  <w:num w:numId="1">
    <w:abstractNumId w:val="8"/>
  </w:num>
  <w:num w:numId="2">
    <w:abstractNumId w:val="11"/>
  </w:num>
  <w:num w:numId="3">
    <w:abstractNumId w:val="0"/>
  </w:num>
  <w:num w:numId="4">
    <w:abstractNumId w:val="2"/>
  </w:num>
  <w:num w:numId="5">
    <w:abstractNumId w:val="10"/>
  </w:num>
  <w:num w:numId="6">
    <w:abstractNumId w:val="3"/>
  </w:num>
  <w:num w:numId="7">
    <w:abstractNumId w:val="4"/>
  </w:num>
  <w:num w:numId="8">
    <w:abstractNumId w:val="6"/>
  </w:num>
  <w:num w:numId="9">
    <w:abstractNumId w:val="1"/>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7F"/>
    <w:rsid w:val="00001B7A"/>
    <w:rsid w:val="000A57DB"/>
    <w:rsid w:val="000A672E"/>
    <w:rsid w:val="000B6A19"/>
    <w:rsid w:val="00115D63"/>
    <w:rsid w:val="00160F8A"/>
    <w:rsid w:val="00195BB2"/>
    <w:rsid w:val="001D3C6D"/>
    <w:rsid w:val="001F5A12"/>
    <w:rsid w:val="0020093D"/>
    <w:rsid w:val="0020241B"/>
    <w:rsid w:val="00220FA9"/>
    <w:rsid w:val="002456BE"/>
    <w:rsid w:val="00256A25"/>
    <w:rsid w:val="002B10BD"/>
    <w:rsid w:val="002B40FB"/>
    <w:rsid w:val="002E3F1F"/>
    <w:rsid w:val="00351A94"/>
    <w:rsid w:val="003651A9"/>
    <w:rsid w:val="0038083C"/>
    <w:rsid w:val="00385D78"/>
    <w:rsid w:val="00385DDD"/>
    <w:rsid w:val="003A7403"/>
    <w:rsid w:val="003D3C74"/>
    <w:rsid w:val="003F078C"/>
    <w:rsid w:val="00440BC1"/>
    <w:rsid w:val="00446F76"/>
    <w:rsid w:val="00447D36"/>
    <w:rsid w:val="00453500"/>
    <w:rsid w:val="00480091"/>
    <w:rsid w:val="00496008"/>
    <w:rsid w:val="004B1882"/>
    <w:rsid w:val="004C3ABD"/>
    <w:rsid w:val="00521296"/>
    <w:rsid w:val="00537A5B"/>
    <w:rsid w:val="00623B81"/>
    <w:rsid w:val="00627CA8"/>
    <w:rsid w:val="00642256"/>
    <w:rsid w:val="0064345C"/>
    <w:rsid w:val="00662A2B"/>
    <w:rsid w:val="006B34E0"/>
    <w:rsid w:val="006F07B0"/>
    <w:rsid w:val="006F2603"/>
    <w:rsid w:val="0075418D"/>
    <w:rsid w:val="0079353B"/>
    <w:rsid w:val="007D48D9"/>
    <w:rsid w:val="008B55E6"/>
    <w:rsid w:val="008B5984"/>
    <w:rsid w:val="008C0B3D"/>
    <w:rsid w:val="008C1957"/>
    <w:rsid w:val="008D4EFF"/>
    <w:rsid w:val="008D5D3F"/>
    <w:rsid w:val="0090165C"/>
    <w:rsid w:val="00916317"/>
    <w:rsid w:val="0092665F"/>
    <w:rsid w:val="0097173D"/>
    <w:rsid w:val="00972BCD"/>
    <w:rsid w:val="009B7D19"/>
    <w:rsid w:val="009D11D8"/>
    <w:rsid w:val="009E6CE1"/>
    <w:rsid w:val="009E72CE"/>
    <w:rsid w:val="00A01EC4"/>
    <w:rsid w:val="00A168C2"/>
    <w:rsid w:val="00A258BF"/>
    <w:rsid w:val="00A35B65"/>
    <w:rsid w:val="00A979D7"/>
    <w:rsid w:val="00AD1BD9"/>
    <w:rsid w:val="00AD5B50"/>
    <w:rsid w:val="00AF666F"/>
    <w:rsid w:val="00B1799C"/>
    <w:rsid w:val="00B25D56"/>
    <w:rsid w:val="00BE2FBE"/>
    <w:rsid w:val="00BE57B6"/>
    <w:rsid w:val="00C119DB"/>
    <w:rsid w:val="00C475E9"/>
    <w:rsid w:val="00C942D6"/>
    <w:rsid w:val="00CA0DEB"/>
    <w:rsid w:val="00D01103"/>
    <w:rsid w:val="00D252AB"/>
    <w:rsid w:val="00D36ADB"/>
    <w:rsid w:val="00D37F7F"/>
    <w:rsid w:val="00D42BF1"/>
    <w:rsid w:val="00DC4A12"/>
    <w:rsid w:val="00E50610"/>
    <w:rsid w:val="00E76847"/>
    <w:rsid w:val="00E94042"/>
    <w:rsid w:val="00EB22E2"/>
    <w:rsid w:val="00EC1726"/>
    <w:rsid w:val="00F05BC7"/>
    <w:rsid w:val="00F42446"/>
    <w:rsid w:val="00F42921"/>
    <w:rsid w:val="00F753BE"/>
    <w:rsid w:val="00F77586"/>
    <w:rsid w:val="00F84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1D71"/>
  <w15:chartTrackingRefBased/>
  <w15:docId w15:val="{DE520DAB-5B6D-461D-8966-3D4A2D91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882"/>
    <w:pPr>
      <w:suppressAutoHyphens/>
      <w:autoSpaceDN w:val="0"/>
      <w:spacing w:after="120"/>
      <w:textAlignment w:val="baseline"/>
    </w:pPr>
    <w:rPr>
      <w:rFonts w:ascii="Arial" w:hAnsi="Arial"/>
      <w:sz w:val="24"/>
      <w:szCs w:val="22"/>
    </w:rPr>
  </w:style>
  <w:style w:type="paragraph" w:styleId="Heading1">
    <w:name w:val="heading 1"/>
    <w:basedOn w:val="Normal"/>
    <w:next w:val="Normal"/>
    <w:link w:val="Heading1Char"/>
    <w:uiPriority w:val="9"/>
    <w:qFormat/>
    <w:rsid w:val="00F42446"/>
    <w:pPr>
      <w:keepNext/>
      <w:pageBreakBefore/>
      <w:spacing w:after="720"/>
      <w:outlineLvl w:val="0"/>
    </w:pPr>
    <w:rPr>
      <w:bCs/>
      <w:color w:val="7030A0"/>
      <w:kern w:val="32"/>
      <w:sz w:val="52"/>
      <w:szCs w:val="32"/>
    </w:rPr>
  </w:style>
  <w:style w:type="paragraph" w:styleId="Heading2">
    <w:name w:val="heading 2"/>
    <w:basedOn w:val="Normal"/>
    <w:next w:val="Normal"/>
    <w:autoRedefine/>
    <w:rsid w:val="00D37F7F"/>
    <w:pPr>
      <w:keepNext/>
      <w:spacing w:after="60"/>
      <w:outlineLvl w:val="1"/>
    </w:pPr>
    <w:rPr>
      <w:rFonts w:cs="Arial"/>
      <w:bCs/>
      <w:sz w:val="20"/>
      <w:szCs w:val="20"/>
      <w:lang w:val="en" w:eastAsia="en-US"/>
    </w:rPr>
  </w:style>
  <w:style w:type="paragraph" w:styleId="Heading3">
    <w:name w:val="heading 3"/>
    <w:basedOn w:val="Normal"/>
    <w:next w:val="Normal"/>
    <w:link w:val="Heading3Char"/>
    <w:uiPriority w:val="9"/>
    <w:unhideWhenUsed/>
    <w:qFormat/>
    <w:rsid w:val="004B1882"/>
    <w:pPr>
      <w:keepNext/>
      <w:outlineLvl w:val="2"/>
    </w:pPr>
    <w:rPr>
      <w:b/>
      <w:bCs/>
      <w:color w:val="7030A0"/>
      <w:sz w:val="32"/>
      <w:szCs w:val="26"/>
    </w:rPr>
  </w:style>
  <w:style w:type="paragraph" w:styleId="Heading4">
    <w:name w:val="heading 4"/>
    <w:basedOn w:val="Normal"/>
    <w:next w:val="Normal"/>
    <w:link w:val="Heading4Char"/>
    <w:uiPriority w:val="9"/>
    <w:unhideWhenUsed/>
    <w:qFormat/>
    <w:rsid w:val="00DC4A12"/>
    <w:pPr>
      <w:keepNext/>
      <w:spacing w:before="240" w:after="60"/>
      <w:ind w:left="720"/>
      <w:outlineLvl w:val="3"/>
    </w:pPr>
    <w:rPr>
      <w:rFonts w:eastAsiaTheme="minorEastAsia" w:cstheme="minorBidi"/>
      <w:b/>
      <w:bCs/>
      <w:i/>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7F7F"/>
    <w:pPr>
      <w:tabs>
        <w:tab w:val="center" w:pos="4513"/>
        <w:tab w:val="right" w:pos="9026"/>
      </w:tabs>
      <w:spacing w:after="0"/>
    </w:pPr>
  </w:style>
  <w:style w:type="character" w:customStyle="1" w:styleId="HeaderChar">
    <w:name w:val="Header Char"/>
    <w:basedOn w:val="DefaultParagraphFont"/>
    <w:rsid w:val="00D37F7F"/>
  </w:style>
  <w:style w:type="paragraph" w:styleId="Footer">
    <w:name w:val="footer"/>
    <w:basedOn w:val="Normal"/>
    <w:rsid w:val="00D37F7F"/>
    <w:pPr>
      <w:tabs>
        <w:tab w:val="center" w:pos="4513"/>
        <w:tab w:val="right" w:pos="9026"/>
      </w:tabs>
      <w:spacing w:after="0"/>
    </w:pPr>
  </w:style>
  <w:style w:type="character" w:customStyle="1" w:styleId="FooterChar">
    <w:name w:val="Footer Char"/>
    <w:basedOn w:val="DefaultParagraphFont"/>
    <w:rsid w:val="00D37F7F"/>
  </w:style>
  <w:style w:type="character" w:customStyle="1" w:styleId="Heading2Char">
    <w:name w:val="Heading 2 Char"/>
    <w:rsid w:val="00D37F7F"/>
    <w:rPr>
      <w:rFonts w:ascii="Arial" w:eastAsia="Times New Roman" w:hAnsi="Arial" w:cs="Arial"/>
      <w:bCs/>
      <w:sz w:val="20"/>
      <w:szCs w:val="20"/>
      <w:lang w:val="en" w:eastAsia="en-US"/>
    </w:rPr>
  </w:style>
  <w:style w:type="paragraph" w:customStyle="1" w:styleId="BodyText21">
    <w:name w:val="Body Text 21"/>
    <w:basedOn w:val="Normal"/>
    <w:rsid w:val="00D37F7F"/>
    <w:pPr>
      <w:spacing w:after="0"/>
      <w:ind w:left="567"/>
    </w:pPr>
    <w:rPr>
      <w:szCs w:val="24"/>
      <w:lang w:eastAsia="en-US"/>
    </w:rPr>
  </w:style>
  <w:style w:type="character" w:customStyle="1" w:styleId="Bodytext2Char">
    <w:name w:val="Body text 2 Char"/>
    <w:rsid w:val="00D37F7F"/>
    <w:rPr>
      <w:rFonts w:ascii="Arial" w:eastAsia="Times New Roman" w:hAnsi="Arial" w:cs="Times New Roman"/>
      <w:szCs w:val="24"/>
      <w:lang w:eastAsia="en-US"/>
    </w:rPr>
  </w:style>
  <w:style w:type="paragraph" w:styleId="ListParagraph">
    <w:name w:val="List Paragraph"/>
    <w:basedOn w:val="Normal"/>
    <w:uiPriority w:val="34"/>
    <w:qFormat/>
    <w:rsid w:val="00D37F7F"/>
    <w:pPr>
      <w:ind w:left="720"/>
    </w:pPr>
  </w:style>
  <w:style w:type="paragraph" w:styleId="NormalWeb">
    <w:name w:val="Normal (Web)"/>
    <w:basedOn w:val="Normal"/>
    <w:uiPriority w:val="99"/>
    <w:rsid w:val="00D37F7F"/>
    <w:pPr>
      <w:spacing w:before="100" w:after="100"/>
    </w:pPr>
    <w:rPr>
      <w:rFonts w:ascii="Times New Roman" w:hAnsi="Times New Roman"/>
      <w:szCs w:val="24"/>
    </w:rPr>
  </w:style>
  <w:style w:type="paragraph" w:styleId="DocumentMap">
    <w:name w:val="Document Map"/>
    <w:basedOn w:val="Normal"/>
    <w:rsid w:val="00D37F7F"/>
    <w:rPr>
      <w:rFonts w:ascii="Tahoma" w:hAnsi="Tahoma" w:cs="Tahoma"/>
      <w:sz w:val="16"/>
      <w:szCs w:val="16"/>
    </w:rPr>
  </w:style>
  <w:style w:type="character" w:customStyle="1" w:styleId="DocumentMapChar">
    <w:name w:val="Document Map Char"/>
    <w:rsid w:val="00D37F7F"/>
    <w:rPr>
      <w:rFonts w:ascii="Tahoma" w:hAnsi="Tahoma" w:cs="Tahoma"/>
      <w:sz w:val="16"/>
      <w:szCs w:val="16"/>
    </w:rPr>
  </w:style>
  <w:style w:type="paragraph" w:styleId="BalloonText">
    <w:name w:val="Balloon Text"/>
    <w:basedOn w:val="Normal"/>
    <w:rsid w:val="00D37F7F"/>
    <w:pPr>
      <w:spacing w:after="0"/>
    </w:pPr>
    <w:rPr>
      <w:rFonts w:ascii="Tahoma" w:hAnsi="Tahoma" w:cs="Tahoma"/>
      <w:sz w:val="16"/>
      <w:szCs w:val="16"/>
    </w:rPr>
  </w:style>
  <w:style w:type="character" w:customStyle="1" w:styleId="BalloonTextChar">
    <w:name w:val="Balloon Text Char"/>
    <w:rsid w:val="00D37F7F"/>
    <w:rPr>
      <w:rFonts w:ascii="Tahoma" w:hAnsi="Tahoma" w:cs="Tahoma"/>
      <w:sz w:val="16"/>
      <w:szCs w:val="16"/>
    </w:rPr>
  </w:style>
  <w:style w:type="paragraph" w:styleId="EndnoteText">
    <w:name w:val="endnote text"/>
    <w:basedOn w:val="Normal"/>
    <w:rsid w:val="00D37F7F"/>
    <w:rPr>
      <w:sz w:val="20"/>
      <w:szCs w:val="20"/>
    </w:rPr>
  </w:style>
  <w:style w:type="character" w:customStyle="1" w:styleId="EndnoteTextChar">
    <w:name w:val="Endnote Text Char"/>
    <w:basedOn w:val="DefaultParagraphFont"/>
    <w:rsid w:val="00D37F7F"/>
  </w:style>
  <w:style w:type="character" w:styleId="EndnoteReference">
    <w:name w:val="endnote reference"/>
    <w:rsid w:val="00D37F7F"/>
    <w:rPr>
      <w:position w:val="0"/>
      <w:vertAlign w:val="superscript"/>
    </w:rPr>
  </w:style>
  <w:style w:type="paragraph" w:styleId="FootnoteText">
    <w:name w:val="footnote text"/>
    <w:basedOn w:val="Normal"/>
    <w:uiPriority w:val="99"/>
    <w:rsid w:val="00D37F7F"/>
    <w:rPr>
      <w:sz w:val="20"/>
      <w:szCs w:val="20"/>
    </w:rPr>
  </w:style>
  <w:style w:type="character" w:customStyle="1" w:styleId="FootnoteTextChar">
    <w:name w:val="Footnote Text Char"/>
    <w:basedOn w:val="DefaultParagraphFont"/>
    <w:uiPriority w:val="99"/>
    <w:rsid w:val="00D37F7F"/>
  </w:style>
  <w:style w:type="character" w:styleId="FootnoteReference">
    <w:name w:val="footnote reference"/>
    <w:uiPriority w:val="99"/>
    <w:rsid w:val="00D37F7F"/>
    <w:rPr>
      <w:position w:val="0"/>
      <w:vertAlign w:val="superscript"/>
    </w:rPr>
  </w:style>
  <w:style w:type="character" w:styleId="CommentReference">
    <w:name w:val="annotation reference"/>
    <w:rsid w:val="00D37F7F"/>
    <w:rPr>
      <w:sz w:val="16"/>
      <w:szCs w:val="16"/>
    </w:rPr>
  </w:style>
  <w:style w:type="paragraph" w:styleId="CommentText">
    <w:name w:val="annotation text"/>
    <w:basedOn w:val="Normal"/>
    <w:rsid w:val="00D37F7F"/>
    <w:rPr>
      <w:sz w:val="20"/>
      <w:szCs w:val="20"/>
    </w:rPr>
  </w:style>
  <w:style w:type="character" w:customStyle="1" w:styleId="CommentTextChar">
    <w:name w:val="Comment Text Char"/>
    <w:basedOn w:val="DefaultParagraphFont"/>
    <w:rsid w:val="00D37F7F"/>
  </w:style>
  <w:style w:type="paragraph" w:styleId="CommentSubject">
    <w:name w:val="annotation subject"/>
    <w:basedOn w:val="CommentText"/>
    <w:next w:val="CommentText"/>
    <w:rsid w:val="00D37F7F"/>
    <w:rPr>
      <w:b/>
      <w:bCs/>
    </w:rPr>
  </w:style>
  <w:style w:type="character" w:customStyle="1" w:styleId="CommentSubjectChar">
    <w:name w:val="Comment Subject Char"/>
    <w:rsid w:val="00D37F7F"/>
    <w:rPr>
      <w:b/>
      <w:bCs/>
    </w:rPr>
  </w:style>
  <w:style w:type="paragraph" w:customStyle="1" w:styleId="Default">
    <w:name w:val="Default"/>
    <w:rsid w:val="00D37F7F"/>
    <w:pPr>
      <w:suppressAutoHyphens/>
      <w:autoSpaceDE w:val="0"/>
      <w:autoSpaceDN w:val="0"/>
      <w:textAlignment w:val="baseline"/>
    </w:pPr>
    <w:rPr>
      <w:rFonts w:cs="Calibri"/>
      <w:color w:val="000000"/>
      <w:sz w:val="24"/>
      <w:szCs w:val="24"/>
    </w:rPr>
  </w:style>
  <w:style w:type="character" w:styleId="Hyperlink">
    <w:name w:val="Hyperlink"/>
    <w:uiPriority w:val="99"/>
    <w:rsid w:val="00D37F7F"/>
    <w:rPr>
      <w:color w:val="0000FF"/>
      <w:u w:val="single"/>
    </w:rPr>
  </w:style>
  <w:style w:type="paragraph" w:styleId="NoSpacing">
    <w:name w:val="No Spacing"/>
    <w:rsid w:val="00D37F7F"/>
    <w:pPr>
      <w:suppressAutoHyphens/>
      <w:autoSpaceDN w:val="0"/>
      <w:textAlignment w:val="baseline"/>
    </w:pPr>
    <w:rPr>
      <w:sz w:val="22"/>
      <w:szCs w:val="22"/>
    </w:rPr>
  </w:style>
  <w:style w:type="character" w:styleId="FollowedHyperlink">
    <w:name w:val="FollowedHyperlink"/>
    <w:rsid w:val="00D37F7F"/>
    <w:rPr>
      <w:color w:val="954F72"/>
      <w:u w:val="single"/>
    </w:rPr>
  </w:style>
  <w:style w:type="character" w:customStyle="1" w:styleId="Heading1Char">
    <w:name w:val="Heading 1 Char"/>
    <w:link w:val="Heading1"/>
    <w:uiPriority w:val="9"/>
    <w:rsid w:val="00F42446"/>
    <w:rPr>
      <w:rFonts w:ascii="Arial" w:hAnsi="Arial"/>
      <w:bCs/>
      <w:color w:val="7030A0"/>
      <w:kern w:val="32"/>
      <w:sz w:val="52"/>
      <w:szCs w:val="32"/>
    </w:rPr>
  </w:style>
  <w:style w:type="paragraph" w:styleId="Title">
    <w:name w:val="Title"/>
    <w:basedOn w:val="Normal"/>
    <w:next w:val="Normal"/>
    <w:link w:val="TitleChar"/>
    <w:uiPriority w:val="10"/>
    <w:qFormat/>
    <w:rsid w:val="00D36AD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D36ADB"/>
    <w:rPr>
      <w:rFonts w:ascii="Calibri Light" w:eastAsia="Times New Roman" w:hAnsi="Calibri Light" w:cs="Times New Roman"/>
      <w:b/>
      <w:bCs/>
      <w:kern w:val="28"/>
      <w:sz w:val="32"/>
      <w:szCs w:val="32"/>
    </w:rPr>
  </w:style>
  <w:style w:type="character" w:styleId="SubtleReference">
    <w:name w:val="Subtle Reference"/>
    <w:uiPriority w:val="31"/>
    <w:qFormat/>
    <w:rsid w:val="00D36ADB"/>
    <w:rPr>
      <w:smallCaps/>
      <w:color w:val="5A5A5A"/>
    </w:rPr>
  </w:style>
  <w:style w:type="character" w:customStyle="1" w:styleId="Heading3Char">
    <w:name w:val="Heading 3 Char"/>
    <w:link w:val="Heading3"/>
    <w:uiPriority w:val="9"/>
    <w:rsid w:val="004B1882"/>
    <w:rPr>
      <w:rFonts w:ascii="Arial" w:hAnsi="Arial"/>
      <w:b/>
      <w:bCs/>
      <w:color w:val="7030A0"/>
      <w:sz w:val="32"/>
      <w:szCs w:val="26"/>
    </w:rPr>
  </w:style>
  <w:style w:type="table" w:styleId="TableGrid">
    <w:name w:val="Table Grid"/>
    <w:basedOn w:val="TableNormal"/>
    <w:uiPriority w:val="39"/>
    <w:rsid w:val="00D011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96008"/>
    <w:rPr>
      <w:color w:val="808080"/>
      <w:shd w:val="clear" w:color="auto" w:fill="E6E6E6"/>
    </w:rPr>
  </w:style>
  <w:style w:type="paragraph" w:styleId="TOCHeading">
    <w:name w:val="TOC Heading"/>
    <w:basedOn w:val="Heading1"/>
    <w:next w:val="Normal"/>
    <w:uiPriority w:val="39"/>
    <w:unhideWhenUsed/>
    <w:qFormat/>
    <w:rsid w:val="00496008"/>
    <w:pPr>
      <w:keepLines/>
      <w:suppressAutoHyphens w:val="0"/>
      <w:autoSpaceDN/>
      <w:spacing w:after="0" w:line="259" w:lineRule="auto"/>
      <w:textAlignment w:val="auto"/>
      <w:outlineLvl w:val="9"/>
    </w:pPr>
    <w:rPr>
      <w:b/>
      <w:bCs w:val="0"/>
      <w:color w:val="2F5496"/>
      <w:kern w:val="0"/>
      <w:lang w:val="en-US" w:eastAsia="en-US"/>
    </w:rPr>
  </w:style>
  <w:style w:type="paragraph" w:styleId="TOC1">
    <w:name w:val="toc 1"/>
    <w:basedOn w:val="Normal"/>
    <w:next w:val="Normal"/>
    <w:autoRedefine/>
    <w:uiPriority w:val="39"/>
    <w:unhideWhenUsed/>
    <w:rsid w:val="00496008"/>
  </w:style>
  <w:style w:type="paragraph" w:styleId="TOC3">
    <w:name w:val="toc 3"/>
    <w:basedOn w:val="Normal"/>
    <w:next w:val="Normal"/>
    <w:autoRedefine/>
    <w:uiPriority w:val="39"/>
    <w:unhideWhenUsed/>
    <w:rsid w:val="00496008"/>
    <w:pPr>
      <w:ind w:left="440"/>
    </w:pPr>
  </w:style>
  <w:style w:type="character" w:customStyle="1" w:styleId="Heading4Char">
    <w:name w:val="Heading 4 Char"/>
    <w:basedOn w:val="DefaultParagraphFont"/>
    <w:link w:val="Heading4"/>
    <w:uiPriority w:val="9"/>
    <w:rsid w:val="00DC4A12"/>
    <w:rPr>
      <w:rFonts w:ascii="Arial" w:eastAsiaTheme="minorEastAsia" w:hAnsi="Arial" w:cstheme="minorBidi"/>
      <w:b/>
      <w:bCs/>
      <w:i/>
      <w:color w:val="7030A0"/>
      <w:sz w:val="28"/>
      <w:szCs w:val="28"/>
    </w:rPr>
  </w:style>
  <w:style w:type="paragraph" w:styleId="TOC4">
    <w:name w:val="toc 4"/>
    <w:basedOn w:val="Normal"/>
    <w:next w:val="Normal"/>
    <w:autoRedefine/>
    <w:uiPriority w:val="39"/>
    <w:unhideWhenUsed/>
    <w:rsid w:val="00DC4A12"/>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4071">
      <w:bodyDiv w:val="1"/>
      <w:marLeft w:val="0"/>
      <w:marRight w:val="0"/>
      <w:marTop w:val="0"/>
      <w:marBottom w:val="0"/>
      <w:divBdr>
        <w:top w:val="none" w:sz="0" w:space="0" w:color="auto"/>
        <w:left w:val="none" w:sz="0" w:space="0" w:color="auto"/>
        <w:bottom w:val="none" w:sz="0" w:space="0" w:color="auto"/>
        <w:right w:val="none" w:sz="0" w:space="0" w:color="auto"/>
      </w:divBdr>
      <w:divsChild>
        <w:div w:id="95299136">
          <w:marLeft w:val="389"/>
          <w:marRight w:val="0"/>
          <w:marTop w:val="160"/>
          <w:marBottom w:val="0"/>
          <w:divBdr>
            <w:top w:val="none" w:sz="0" w:space="0" w:color="auto"/>
            <w:left w:val="none" w:sz="0" w:space="0" w:color="auto"/>
            <w:bottom w:val="none" w:sz="0" w:space="0" w:color="auto"/>
            <w:right w:val="none" w:sz="0" w:space="0" w:color="auto"/>
          </w:divBdr>
        </w:div>
        <w:div w:id="1949462479">
          <w:marLeft w:val="389"/>
          <w:marRight w:val="0"/>
          <w:marTop w:val="160"/>
          <w:marBottom w:val="0"/>
          <w:divBdr>
            <w:top w:val="none" w:sz="0" w:space="0" w:color="auto"/>
            <w:left w:val="none" w:sz="0" w:space="0" w:color="auto"/>
            <w:bottom w:val="none" w:sz="0" w:space="0" w:color="auto"/>
            <w:right w:val="none" w:sz="0" w:space="0" w:color="auto"/>
          </w:divBdr>
        </w:div>
        <w:div w:id="1174149075">
          <w:marLeft w:val="389"/>
          <w:marRight w:val="0"/>
          <w:marTop w:val="160"/>
          <w:marBottom w:val="0"/>
          <w:divBdr>
            <w:top w:val="none" w:sz="0" w:space="0" w:color="auto"/>
            <w:left w:val="none" w:sz="0" w:space="0" w:color="auto"/>
            <w:bottom w:val="none" w:sz="0" w:space="0" w:color="auto"/>
            <w:right w:val="none" w:sz="0" w:space="0" w:color="auto"/>
          </w:divBdr>
        </w:div>
        <w:div w:id="1096559661">
          <w:marLeft w:val="1166"/>
          <w:marRight w:val="0"/>
          <w:marTop w:val="160"/>
          <w:marBottom w:val="0"/>
          <w:divBdr>
            <w:top w:val="none" w:sz="0" w:space="0" w:color="auto"/>
            <w:left w:val="none" w:sz="0" w:space="0" w:color="auto"/>
            <w:bottom w:val="none" w:sz="0" w:space="0" w:color="auto"/>
            <w:right w:val="none" w:sz="0" w:space="0" w:color="auto"/>
          </w:divBdr>
        </w:div>
        <w:div w:id="2035230229">
          <w:marLeft w:val="1166"/>
          <w:marRight w:val="0"/>
          <w:marTop w:val="160"/>
          <w:marBottom w:val="0"/>
          <w:divBdr>
            <w:top w:val="none" w:sz="0" w:space="0" w:color="auto"/>
            <w:left w:val="none" w:sz="0" w:space="0" w:color="auto"/>
            <w:bottom w:val="none" w:sz="0" w:space="0" w:color="auto"/>
            <w:right w:val="none" w:sz="0" w:space="0" w:color="auto"/>
          </w:divBdr>
        </w:div>
        <w:div w:id="534851097">
          <w:marLeft w:val="1166"/>
          <w:marRight w:val="0"/>
          <w:marTop w:val="160"/>
          <w:marBottom w:val="0"/>
          <w:divBdr>
            <w:top w:val="none" w:sz="0" w:space="0" w:color="auto"/>
            <w:left w:val="none" w:sz="0" w:space="0" w:color="auto"/>
            <w:bottom w:val="none" w:sz="0" w:space="0" w:color="auto"/>
            <w:right w:val="none" w:sz="0" w:space="0" w:color="auto"/>
          </w:divBdr>
        </w:div>
      </w:divsChild>
    </w:div>
    <w:div w:id="65038864">
      <w:bodyDiv w:val="1"/>
      <w:marLeft w:val="0"/>
      <w:marRight w:val="0"/>
      <w:marTop w:val="0"/>
      <w:marBottom w:val="0"/>
      <w:divBdr>
        <w:top w:val="none" w:sz="0" w:space="0" w:color="auto"/>
        <w:left w:val="none" w:sz="0" w:space="0" w:color="auto"/>
        <w:bottom w:val="none" w:sz="0" w:space="0" w:color="auto"/>
        <w:right w:val="none" w:sz="0" w:space="0" w:color="auto"/>
      </w:divBdr>
    </w:div>
    <w:div w:id="199318533">
      <w:bodyDiv w:val="1"/>
      <w:marLeft w:val="0"/>
      <w:marRight w:val="0"/>
      <w:marTop w:val="0"/>
      <w:marBottom w:val="0"/>
      <w:divBdr>
        <w:top w:val="none" w:sz="0" w:space="0" w:color="auto"/>
        <w:left w:val="none" w:sz="0" w:space="0" w:color="auto"/>
        <w:bottom w:val="none" w:sz="0" w:space="0" w:color="auto"/>
        <w:right w:val="none" w:sz="0" w:space="0" w:color="auto"/>
      </w:divBdr>
    </w:div>
    <w:div w:id="275603237">
      <w:bodyDiv w:val="1"/>
      <w:marLeft w:val="0"/>
      <w:marRight w:val="0"/>
      <w:marTop w:val="0"/>
      <w:marBottom w:val="0"/>
      <w:divBdr>
        <w:top w:val="none" w:sz="0" w:space="0" w:color="auto"/>
        <w:left w:val="none" w:sz="0" w:space="0" w:color="auto"/>
        <w:bottom w:val="none" w:sz="0" w:space="0" w:color="auto"/>
        <w:right w:val="none" w:sz="0" w:space="0" w:color="auto"/>
      </w:divBdr>
    </w:div>
    <w:div w:id="460195098">
      <w:bodyDiv w:val="1"/>
      <w:marLeft w:val="0"/>
      <w:marRight w:val="0"/>
      <w:marTop w:val="0"/>
      <w:marBottom w:val="0"/>
      <w:divBdr>
        <w:top w:val="none" w:sz="0" w:space="0" w:color="auto"/>
        <w:left w:val="none" w:sz="0" w:space="0" w:color="auto"/>
        <w:bottom w:val="none" w:sz="0" w:space="0" w:color="auto"/>
        <w:right w:val="none" w:sz="0" w:space="0" w:color="auto"/>
      </w:divBdr>
      <w:divsChild>
        <w:div w:id="678040979">
          <w:marLeft w:val="389"/>
          <w:marRight w:val="0"/>
          <w:marTop w:val="58"/>
          <w:marBottom w:val="120"/>
          <w:divBdr>
            <w:top w:val="none" w:sz="0" w:space="0" w:color="auto"/>
            <w:left w:val="none" w:sz="0" w:space="0" w:color="auto"/>
            <w:bottom w:val="none" w:sz="0" w:space="0" w:color="auto"/>
            <w:right w:val="none" w:sz="0" w:space="0" w:color="auto"/>
          </w:divBdr>
        </w:div>
        <w:div w:id="254827887">
          <w:marLeft w:val="389"/>
          <w:marRight w:val="0"/>
          <w:marTop w:val="58"/>
          <w:marBottom w:val="120"/>
          <w:divBdr>
            <w:top w:val="none" w:sz="0" w:space="0" w:color="auto"/>
            <w:left w:val="none" w:sz="0" w:space="0" w:color="auto"/>
            <w:bottom w:val="none" w:sz="0" w:space="0" w:color="auto"/>
            <w:right w:val="none" w:sz="0" w:space="0" w:color="auto"/>
          </w:divBdr>
        </w:div>
      </w:divsChild>
    </w:div>
    <w:div w:id="555896264">
      <w:bodyDiv w:val="1"/>
      <w:marLeft w:val="0"/>
      <w:marRight w:val="0"/>
      <w:marTop w:val="0"/>
      <w:marBottom w:val="0"/>
      <w:divBdr>
        <w:top w:val="none" w:sz="0" w:space="0" w:color="auto"/>
        <w:left w:val="none" w:sz="0" w:space="0" w:color="auto"/>
        <w:bottom w:val="none" w:sz="0" w:space="0" w:color="auto"/>
        <w:right w:val="none" w:sz="0" w:space="0" w:color="auto"/>
      </w:divBdr>
      <w:divsChild>
        <w:div w:id="286813160">
          <w:marLeft w:val="274"/>
          <w:marRight w:val="0"/>
          <w:marTop w:val="0"/>
          <w:marBottom w:val="0"/>
          <w:divBdr>
            <w:top w:val="none" w:sz="0" w:space="0" w:color="auto"/>
            <w:left w:val="none" w:sz="0" w:space="0" w:color="auto"/>
            <w:bottom w:val="none" w:sz="0" w:space="0" w:color="auto"/>
            <w:right w:val="none" w:sz="0" w:space="0" w:color="auto"/>
          </w:divBdr>
        </w:div>
        <w:div w:id="407505798">
          <w:marLeft w:val="274"/>
          <w:marRight w:val="0"/>
          <w:marTop w:val="0"/>
          <w:marBottom w:val="0"/>
          <w:divBdr>
            <w:top w:val="none" w:sz="0" w:space="0" w:color="auto"/>
            <w:left w:val="none" w:sz="0" w:space="0" w:color="auto"/>
            <w:bottom w:val="none" w:sz="0" w:space="0" w:color="auto"/>
            <w:right w:val="none" w:sz="0" w:space="0" w:color="auto"/>
          </w:divBdr>
        </w:div>
      </w:divsChild>
    </w:div>
    <w:div w:id="644624100">
      <w:bodyDiv w:val="1"/>
      <w:marLeft w:val="0"/>
      <w:marRight w:val="0"/>
      <w:marTop w:val="0"/>
      <w:marBottom w:val="0"/>
      <w:divBdr>
        <w:top w:val="none" w:sz="0" w:space="0" w:color="auto"/>
        <w:left w:val="none" w:sz="0" w:space="0" w:color="auto"/>
        <w:bottom w:val="none" w:sz="0" w:space="0" w:color="auto"/>
        <w:right w:val="none" w:sz="0" w:space="0" w:color="auto"/>
      </w:divBdr>
    </w:div>
    <w:div w:id="687635069">
      <w:bodyDiv w:val="1"/>
      <w:marLeft w:val="0"/>
      <w:marRight w:val="0"/>
      <w:marTop w:val="0"/>
      <w:marBottom w:val="0"/>
      <w:divBdr>
        <w:top w:val="none" w:sz="0" w:space="0" w:color="auto"/>
        <w:left w:val="none" w:sz="0" w:space="0" w:color="auto"/>
        <w:bottom w:val="none" w:sz="0" w:space="0" w:color="auto"/>
        <w:right w:val="none" w:sz="0" w:space="0" w:color="auto"/>
      </w:divBdr>
    </w:div>
    <w:div w:id="707603997">
      <w:bodyDiv w:val="1"/>
      <w:marLeft w:val="0"/>
      <w:marRight w:val="0"/>
      <w:marTop w:val="0"/>
      <w:marBottom w:val="0"/>
      <w:divBdr>
        <w:top w:val="none" w:sz="0" w:space="0" w:color="auto"/>
        <w:left w:val="none" w:sz="0" w:space="0" w:color="auto"/>
        <w:bottom w:val="none" w:sz="0" w:space="0" w:color="auto"/>
        <w:right w:val="none" w:sz="0" w:space="0" w:color="auto"/>
      </w:divBdr>
    </w:div>
    <w:div w:id="808085222">
      <w:bodyDiv w:val="1"/>
      <w:marLeft w:val="0"/>
      <w:marRight w:val="0"/>
      <w:marTop w:val="0"/>
      <w:marBottom w:val="0"/>
      <w:divBdr>
        <w:top w:val="none" w:sz="0" w:space="0" w:color="auto"/>
        <w:left w:val="none" w:sz="0" w:space="0" w:color="auto"/>
        <w:bottom w:val="none" w:sz="0" w:space="0" w:color="auto"/>
        <w:right w:val="none" w:sz="0" w:space="0" w:color="auto"/>
      </w:divBdr>
      <w:divsChild>
        <w:div w:id="2009938133">
          <w:marLeft w:val="274"/>
          <w:marRight w:val="0"/>
          <w:marTop w:val="160"/>
          <w:marBottom w:val="0"/>
          <w:divBdr>
            <w:top w:val="none" w:sz="0" w:space="0" w:color="auto"/>
            <w:left w:val="none" w:sz="0" w:space="0" w:color="auto"/>
            <w:bottom w:val="none" w:sz="0" w:space="0" w:color="auto"/>
            <w:right w:val="none" w:sz="0" w:space="0" w:color="auto"/>
          </w:divBdr>
        </w:div>
        <w:div w:id="777800445">
          <w:marLeft w:val="562"/>
          <w:marRight w:val="0"/>
          <w:marTop w:val="160"/>
          <w:marBottom w:val="0"/>
          <w:divBdr>
            <w:top w:val="none" w:sz="0" w:space="0" w:color="auto"/>
            <w:left w:val="none" w:sz="0" w:space="0" w:color="auto"/>
            <w:bottom w:val="none" w:sz="0" w:space="0" w:color="auto"/>
            <w:right w:val="none" w:sz="0" w:space="0" w:color="auto"/>
          </w:divBdr>
        </w:div>
        <w:div w:id="1088311735">
          <w:marLeft w:val="562"/>
          <w:marRight w:val="0"/>
          <w:marTop w:val="160"/>
          <w:marBottom w:val="0"/>
          <w:divBdr>
            <w:top w:val="none" w:sz="0" w:space="0" w:color="auto"/>
            <w:left w:val="none" w:sz="0" w:space="0" w:color="auto"/>
            <w:bottom w:val="none" w:sz="0" w:space="0" w:color="auto"/>
            <w:right w:val="none" w:sz="0" w:space="0" w:color="auto"/>
          </w:divBdr>
        </w:div>
        <w:div w:id="1855920007">
          <w:marLeft w:val="274"/>
          <w:marRight w:val="0"/>
          <w:marTop w:val="160"/>
          <w:marBottom w:val="0"/>
          <w:divBdr>
            <w:top w:val="none" w:sz="0" w:space="0" w:color="auto"/>
            <w:left w:val="none" w:sz="0" w:space="0" w:color="auto"/>
            <w:bottom w:val="none" w:sz="0" w:space="0" w:color="auto"/>
            <w:right w:val="none" w:sz="0" w:space="0" w:color="auto"/>
          </w:divBdr>
        </w:div>
      </w:divsChild>
    </w:div>
    <w:div w:id="840243993">
      <w:bodyDiv w:val="1"/>
      <w:marLeft w:val="0"/>
      <w:marRight w:val="0"/>
      <w:marTop w:val="0"/>
      <w:marBottom w:val="0"/>
      <w:divBdr>
        <w:top w:val="none" w:sz="0" w:space="0" w:color="auto"/>
        <w:left w:val="none" w:sz="0" w:space="0" w:color="auto"/>
        <w:bottom w:val="none" w:sz="0" w:space="0" w:color="auto"/>
        <w:right w:val="none" w:sz="0" w:space="0" w:color="auto"/>
      </w:divBdr>
    </w:div>
    <w:div w:id="1198196234">
      <w:bodyDiv w:val="1"/>
      <w:marLeft w:val="0"/>
      <w:marRight w:val="0"/>
      <w:marTop w:val="0"/>
      <w:marBottom w:val="0"/>
      <w:divBdr>
        <w:top w:val="none" w:sz="0" w:space="0" w:color="auto"/>
        <w:left w:val="none" w:sz="0" w:space="0" w:color="auto"/>
        <w:bottom w:val="none" w:sz="0" w:space="0" w:color="auto"/>
        <w:right w:val="none" w:sz="0" w:space="0" w:color="auto"/>
      </w:divBdr>
      <w:divsChild>
        <w:div w:id="1985160083">
          <w:marLeft w:val="274"/>
          <w:marRight w:val="0"/>
          <w:marTop w:val="160"/>
          <w:marBottom w:val="0"/>
          <w:divBdr>
            <w:top w:val="none" w:sz="0" w:space="0" w:color="auto"/>
            <w:left w:val="none" w:sz="0" w:space="0" w:color="auto"/>
            <w:bottom w:val="none" w:sz="0" w:space="0" w:color="auto"/>
            <w:right w:val="none" w:sz="0" w:space="0" w:color="auto"/>
          </w:divBdr>
        </w:div>
        <w:div w:id="1765148044">
          <w:marLeft w:val="274"/>
          <w:marRight w:val="0"/>
          <w:marTop w:val="160"/>
          <w:marBottom w:val="0"/>
          <w:divBdr>
            <w:top w:val="none" w:sz="0" w:space="0" w:color="auto"/>
            <w:left w:val="none" w:sz="0" w:space="0" w:color="auto"/>
            <w:bottom w:val="none" w:sz="0" w:space="0" w:color="auto"/>
            <w:right w:val="none" w:sz="0" w:space="0" w:color="auto"/>
          </w:divBdr>
        </w:div>
        <w:div w:id="182715738">
          <w:marLeft w:val="274"/>
          <w:marRight w:val="0"/>
          <w:marTop w:val="160"/>
          <w:marBottom w:val="0"/>
          <w:divBdr>
            <w:top w:val="none" w:sz="0" w:space="0" w:color="auto"/>
            <w:left w:val="none" w:sz="0" w:space="0" w:color="auto"/>
            <w:bottom w:val="none" w:sz="0" w:space="0" w:color="auto"/>
            <w:right w:val="none" w:sz="0" w:space="0" w:color="auto"/>
          </w:divBdr>
        </w:div>
      </w:divsChild>
    </w:div>
    <w:div w:id="1390376526">
      <w:bodyDiv w:val="1"/>
      <w:marLeft w:val="0"/>
      <w:marRight w:val="0"/>
      <w:marTop w:val="0"/>
      <w:marBottom w:val="0"/>
      <w:divBdr>
        <w:top w:val="none" w:sz="0" w:space="0" w:color="auto"/>
        <w:left w:val="none" w:sz="0" w:space="0" w:color="auto"/>
        <w:bottom w:val="none" w:sz="0" w:space="0" w:color="auto"/>
        <w:right w:val="none" w:sz="0" w:space="0" w:color="auto"/>
      </w:divBdr>
    </w:div>
    <w:div w:id="1457792841">
      <w:bodyDiv w:val="1"/>
      <w:marLeft w:val="0"/>
      <w:marRight w:val="0"/>
      <w:marTop w:val="0"/>
      <w:marBottom w:val="0"/>
      <w:divBdr>
        <w:top w:val="none" w:sz="0" w:space="0" w:color="auto"/>
        <w:left w:val="none" w:sz="0" w:space="0" w:color="auto"/>
        <w:bottom w:val="none" w:sz="0" w:space="0" w:color="auto"/>
        <w:right w:val="none" w:sz="0" w:space="0" w:color="auto"/>
      </w:divBdr>
      <w:divsChild>
        <w:div w:id="1674794159">
          <w:marLeft w:val="0"/>
          <w:marRight w:val="0"/>
          <w:marTop w:val="0"/>
          <w:marBottom w:val="0"/>
          <w:divBdr>
            <w:top w:val="none" w:sz="0" w:space="0" w:color="auto"/>
            <w:left w:val="none" w:sz="0" w:space="0" w:color="auto"/>
            <w:bottom w:val="none" w:sz="0" w:space="0" w:color="auto"/>
            <w:right w:val="none" w:sz="0" w:space="0" w:color="auto"/>
          </w:divBdr>
          <w:divsChild>
            <w:div w:id="1795441101">
              <w:marLeft w:val="0"/>
              <w:marRight w:val="0"/>
              <w:marTop w:val="0"/>
              <w:marBottom w:val="0"/>
              <w:divBdr>
                <w:top w:val="none" w:sz="0" w:space="0" w:color="auto"/>
                <w:left w:val="none" w:sz="0" w:space="0" w:color="auto"/>
                <w:bottom w:val="none" w:sz="0" w:space="0" w:color="auto"/>
                <w:right w:val="none" w:sz="0" w:space="0" w:color="auto"/>
              </w:divBdr>
              <w:divsChild>
                <w:div w:id="48500112">
                  <w:marLeft w:val="0"/>
                  <w:marRight w:val="0"/>
                  <w:marTop w:val="0"/>
                  <w:marBottom w:val="0"/>
                  <w:divBdr>
                    <w:top w:val="none" w:sz="0" w:space="0" w:color="auto"/>
                    <w:left w:val="none" w:sz="0" w:space="0" w:color="auto"/>
                    <w:bottom w:val="none" w:sz="0" w:space="0" w:color="auto"/>
                    <w:right w:val="none" w:sz="0" w:space="0" w:color="auto"/>
                  </w:divBdr>
                  <w:divsChild>
                    <w:div w:id="1709917712">
                      <w:marLeft w:val="0"/>
                      <w:marRight w:val="0"/>
                      <w:marTop w:val="0"/>
                      <w:marBottom w:val="0"/>
                      <w:divBdr>
                        <w:top w:val="none" w:sz="0" w:space="0" w:color="auto"/>
                        <w:left w:val="none" w:sz="0" w:space="0" w:color="auto"/>
                        <w:bottom w:val="none" w:sz="0" w:space="0" w:color="auto"/>
                        <w:right w:val="none" w:sz="0" w:space="0" w:color="auto"/>
                      </w:divBdr>
                      <w:divsChild>
                        <w:div w:id="1807890475">
                          <w:marLeft w:val="150"/>
                          <w:marRight w:val="150"/>
                          <w:marTop w:val="0"/>
                          <w:marBottom w:val="0"/>
                          <w:divBdr>
                            <w:top w:val="none" w:sz="0" w:space="0" w:color="auto"/>
                            <w:left w:val="none" w:sz="0" w:space="0" w:color="auto"/>
                            <w:bottom w:val="none" w:sz="0" w:space="0" w:color="auto"/>
                            <w:right w:val="none" w:sz="0" w:space="0" w:color="auto"/>
                          </w:divBdr>
                          <w:divsChild>
                            <w:div w:id="622997467">
                              <w:marLeft w:val="0"/>
                              <w:marRight w:val="0"/>
                              <w:marTop w:val="0"/>
                              <w:marBottom w:val="0"/>
                              <w:divBdr>
                                <w:top w:val="none" w:sz="0" w:space="0" w:color="auto"/>
                                <w:left w:val="none" w:sz="0" w:space="0" w:color="auto"/>
                                <w:bottom w:val="none" w:sz="0" w:space="0" w:color="auto"/>
                                <w:right w:val="none" w:sz="0" w:space="0" w:color="auto"/>
                              </w:divBdr>
                              <w:divsChild>
                                <w:div w:id="1425959764">
                                  <w:marLeft w:val="0"/>
                                  <w:marRight w:val="0"/>
                                  <w:marTop w:val="0"/>
                                  <w:marBottom w:val="0"/>
                                  <w:divBdr>
                                    <w:top w:val="none" w:sz="0" w:space="0" w:color="auto"/>
                                    <w:left w:val="none" w:sz="0" w:space="0" w:color="auto"/>
                                    <w:bottom w:val="none" w:sz="0" w:space="0" w:color="auto"/>
                                    <w:right w:val="none" w:sz="0" w:space="0" w:color="auto"/>
                                  </w:divBdr>
                                  <w:divsChild>
                                    <w:div w:id="2032341008">
                                      <w:marLeft w:val="0"/>
                                      <w:marRight w:val="0"/>
                                      <w:marTop w:val="0"/>
                                      <w:marBottom w:val="0"/>
                                      <w:divBdr>
                                        <w:top w:val="none" w:sz="0" w:space="0" w:color="auto"/>
                                        <w:left w:val="none" w:sz="0" w:space="0" w:color="auto"/>
                                        <w:bottom w:val="none" w:sz="0" w:space="0" w:color="auto"/>
                                        <w:right w:val="none" w:sz="0" w:space="0" w:color="auto"/>
                                      </w:divBdr>
                                      <w:divsChild>
                                        <w:div w:id="2107728045">
                                          <w:marLeft w:val="0"/>
                                          <w:marRight w:val="0"/>
                                          <w:marTop w:val="0"/>
                                          <w:marBottom w:val="0"/>
                                          <w:divBdr>
                                            <w:top w:val="none" w:sz="0" w:space="0" w:color="auto"/>
                                            <w:left w:val="none" w:sz="0" w:space="0" w:color="auto"/>
                                            <w:bottom w:val="none" w:sz="0" w:space="0" w:color="auto"/>
                                            <w:right w:val="none" w:sz="0" w:space="0" w:color="auto"/>
                                          </w:divBdr>
                                          <w:divsChild>
                                            <w:div w:id="18817523">
                                              <w:marLeft w:val="0"/>
                                              <w:marRight w:val="0"/>
                                              <w:marTop w:val="0"/>
                                              <w:marBottom w:val="0"/>
                                              <w:divBdr>
                                                <w:top w:val="none" w:sz="0" w:space="0" w:color="auto"/>
                                                <w:left w:val="none" w:sz="0" w:space="0" w:color="auto"/>
                                                <w:bottom w:val="none" w:sz="0" w:space="0" w:color="auto"/>
                                                <w:right w:val="none" w:sz="0" w:space="0" w:color="auto"/>
                                              </w:divBdr>
                                              <w:divsChild>
                                                <w:div w:id="2071298020">
                                                  <w:marLeft w:val="0"/>
                                                  <w:marRight w:val="0"/>
                                                  <w:marTop w:val="0"/>
                                                  <w:marBottom w:val="240"/>
                                                  <w:divBdr>
                                                    <w:top w:val="none" w:sz="0" w:space="0" w:color="auto"/>
                                                    <w:left w:val="none" w:sz="0" w:space="0" w:color="auto"/>
                                                    <w:bottom w:val="none" w:sz="0" w:space="0" w:color="auto"/>
                                                    <w:right w:val="none" w:sz="0" w:space="0" w:color="auto"/>
                                                  </w:divBdr>
                                                  <w:divsChild>
                                                    <w:div w:id="1838184746">
                                                      <w:marLeft w:val="0"/>
                                                      <w:marRight w:val="0"/>
                                                      <w:marTop w:val="0"/>
                                                      <w:marBottom w:val="0"/>
                                                      <w:divBdr>
                                                        <w:top w:val="none" w:sz="0" w:space="0" w:color="auto"/>
                                                        <w:left w:val="none" w:sz="0" w:space="0" w:color="auto"/>
                                                        <w:bottom w:val="none" w:sz="0" w:space="0" w:color="auto"/>
                                                        <w:right w:val="none" w:sz="0" w:space="0" w:color="auto"/>
                                                      </w:divBdr>
                                                      <w:divsChild>
                                                        <w:div w:id="684940367">
                                                          <w:marLeft w:val="0"/>
                                                          <w:marRight w:val="300"/>
                                                          <w:marTop w:val="0"/>
                                                          <w:marBottom w:val="0"/>
                                                          <w:divBdr>
                                                            <w:top w:val="none" w:sz="0" w:space="0" w:color="auto"/>
                                                            <w:left w:val="none" w:sz="0" w:space="0" w:color="auto"/>
                                                            <w:bottom w:val="none" w:sz="0" w:space="0" w:color="auto"/>
                                                            <w:right w:val="none" w:sz="0" w:space="0" w:color="auto"/>
                                                          </w:divBdr>
                                                          <w:divsChild>
                                                            <w:div w:id="2131971986">
                                                              <w:marLeft w:val="0"/>
                                                              <w:marRight w:val="0"/>
                                                              <w:marTop w:val="0"/>
                                                              <w:marBottom w:val="300"/>
                                                              <w:divBdr>
                                                                <w:top w:val="none" w:sz="0" w:space="0" w:color="auto"/>
                                                                <w:left w:val="none" w:sz="0" w:space="0" w:color="auto"/>
                                                                <w:bottom w:val="none" w:sz="0" w:space="0" w:color="auto"/>
                                                                <w:right w:val="none" w:sz="0" w:space="0" w:color="auto"/>
                                                              </w:divBdr>
                                                              <w:divsChild>
                                                                <w:div w:id="13163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542829">
      <w:bodyDiv w:val="1"/>
      <w:marLeft w:val="0"/>
      <w:marRight w:val="0"/>
      <w:marTop w:val="0"/>
      <w:marBottom w:val="0"/>
      <w:divBdr>
        <w:top w:val="none" w:sz="0" w:space="0" w:color="auto"/>
        <w:left w:val="none" w:sz="0" w:space="0" w:color="auto"/>
        <w:bottom w:val="none" w:sz="0" w:space="0" w:color="auto"/>
        <w:right w:val="none" w:sz="0" w:space="0" w:color="auto"/>
      </w:divBdr>
    </w:div>
    <w:div w:id="1692799274">
      <w:bodyDiv w:val="1"/>
      <w:marLeft w:val="0"/>
      <w:marRight w:val="0"/>
      <w:marTop w:val="0"/>
      <w:marBottom w:val="0"/>
      <w:divBdr>
        <w:top w:val="none" w:sz="0" w:space="0" w:color="auto"/>
        <w:left w:val="none" w:sz="0" w:space="0" w:color="auto"/>
        <w:bottom w:val="none" w:sz="0" w:space="0" w:color="auto"/>
        <w:right w:val="none" w:sz="0" w:space="0" w:color="auto"/>
      </w:divBdr>
      <w:divsChild>
        <w:div w:id="668027011">
          <w:marLeft w:val="0"/>
          <w:marRight w:val="0"/>
          <w:marTop w:val="0"/>
          <w:marBottom w:val="0"/>
          <w:divBdr>
            <w:top w:val="none" w:sz="0" w:space="0" w:color="auto"/>
            <w:left w:val="none" w:sz="0" w:space="0" w:color="auto"/>
            <w:bottom w:val="none" w:sz="0" w:space="0" w:color="auto"/>
            <w:right w:val="none" w:sz="0" w:space="0" w:color="auto"/>
          </w:divBdr>
          <w:divsChild>
            <w:div w:id="1235891755">
              <w:marLeft w:val="0"/>
              <w:marRight w:val="0"/>
              <w:marTop w:val="0"/>
              <w:marBottom w:val="0"/>
              <w:divBdr>
                <w:top w:val="none" w:sz="0" w:space="0" w:color="auto"/>
                <w:left w:val="none" w:sz="0" w:space="0" w:color="auto"/>
                <w:bottom w:val="none" w:sz="0" w:space="0" w:color="auto"/>
                <w:right w:val="none" w:sz="0" w:space="0" w:color="auto"/>
              </w:divBdr>
              <w:divsChild>
                <w:div w:id="683744497">
                  <w:marLeft w:val="0"/>
                  <w:marRight w:val="0"/>
                  <w:marTop w:val="0"/>
                  <w:marBottom w:val="0"/>
                  <w:divBdr>
                    <w:top w:val="none" w:sz="0" w:space="0" w:color="auto"/>
                    <w:left w:val="none" w:sz="0" w:space="0" w:color="auto"/>
                    <w:bottom w:val="none" w:sz="0" w:space="0" w:color="auto"/>
                    <w:right w:val="none" w:sz="0" w:space="0" w:color="auto"/>
                  </w:divBdr>
                  <w:divsChild>
                    <w:div w:id="1574469328">
                      <w:marLeft w:val="0"/>
                      <w:marRight w:val="0"/>
                      <w:marTop w:val="0"/>
                      <w:marBottom w:val="0"/>
                      <w:divBdr>
                        <w:top w:val="none" w:sz="0" w:space="0" w:color="auto"/>
                        <w:left w:val="none" w:sz="0" w:space="0" w:color="auto"/>
                        <w:bottom w:val="none" w:sz="0" w:space="0" w:color="auto"/>
                        <w:right w:val="none" w:sz="0" w:space="0" w:color="auto"/>
                      </w:divBdr>
                      <w:divsChild>
                        <w:div w:id="498930625">
                          <w:marLeft w:val="150"/>
                          <w:marRight w:val="150"/>
                          <w:marTop w:val="0"/>
                          <w:marBottom w:val="0"/>
                          <w:divBdr>
                            <w:top w:val="none" w:sz="0" w:space="0" w:color="auto"/>
                            <w:left w:val="none" w:sz="0" w:space="0" w:color="auto"/>
                            <w:bottom w:val="none" w:sz="0" w:space="0" w:color="auto"/>
                            <w:right w:val="none" w:sz="0" w:space="0" w:color="auto"/>
                          </w:divBdr>
                          <w:divsChild>
                            <w:div w:id="1448966577">
                              <w:marLeft w:val="0"/>
                              <w:marRight w:val="0"/>
                              <w:marTop w:val="0"/>
                              <w:marBottom w:val="0"/>
                              <w:divBdr>
                                <w:top w:val="none" w:sz="0" w:space="0" w:color="auto"/>
                                <w:left w:val="none" w:sz="0" w:space="0" w:color="auto"/>
                                <w:bottom w:val="none" w:sz="0" w:space="0" w:color="auto"/>
                                <w:right w:val="none" w:sz="0" w:space="0" w:color="auto"/>
                              </w:divBdr>
                              <w:divsChild>
                                <w:div w:id="84305329">
                                  <w:marLeft w:val="0"/>
                                  <w:marRight w:val="0"/>
                                  <w:marTop w:val="0"/>
                                  <w:marBottom w:val="0"/>
                                  <w:divBdr>
                                    <w:top w:val="none" w:sz="0" w:space="0" w:color="auto"/>
                                    <w:left w:val="none" w:sz="0" w:space="0" w:color="auto"/>
                                    <w:bottom w:val="none" w:sz="0" w:space="0" w:color="auto"/>
                                    <w:right w:val="none" w:sz="0" w:space="0" w:color="auto"/>
                                  </w:divBdr>
                                  <w:divsChild>
                                    <w:div w:id="1192642682">
                                      <w:marLeft w:val="0"/>
                                      <w:marRight w:val="0"/>
                                      <w:marTop w:val="0"/>
                                      <w:marBottom w:val="0"/>
                                      <w:divBdr>
                                        <w:top w:val="none" w:sz="0" w:space="0" w:color="auto"/>
                                        <w:left w:val="none" w:sz="0" w:space="0" w:color="auto"/>
                                        <w:bottom w:val="none" w:sz="0" w:space="0" w:color="auto"/>
                                        <w:right w:val="none" w:sz="0" w:space="0" w:color="auto"/>
                                      </w:divBdr>
                                      <w:divsChild>
                                        <w:div w:id="1320646763">
                                          <w:marLeft w:val="0"/>
                                          <w:marRight w:val="0"/>
                                          <w:marTop w:val="0"/>
                                          <w:marBottom w:val="0"/>
                                          <w:divBdr>
                                            <w:top w:val="none" w:sz="0" w:space="0" w:color="auto"/>
                                            <w:left w:val="none" w:sz="0" w:space="0" w:color="auto"/>
                                            <w:bottom w:val="none" w:sz="0" w:space="0" w:color="auto"/>
                                            <w:right w:val="none" w:sz="0" w:space="0" w:color="auto"/>
                                          </w:divBdr>
                                          <w:divsChild>
                                            <w:div w:id="1555503091">
                                              <w:marLeft w:val="0"/>
                                              <w:marRight w:val="0"/>
                                              <w:marTop w:val="0"/>
                                              <w:marBottom w:val="0"/>
                                              <w:divBdr>
                                                <w:top w:val="none" w:sz="0" w:space="0" w:color="auto"/>
                                                <w:left w:val="none" w:sz="0" w:space="0" w:color="auto"/>
                                                <w:bottom w:val="none" w:sz="0" w:space="0" w:color="auto"/>
                                                <w:right w:val="none" w:sz="0" w:space="0" w:color="auto"/>
                                              </w:divBdr>
                                              <w:divsChild>
                                                <w:div w:id="997727069">
                                                  <w:marLeft w:val="0"/>
                                                  <w:marRight w:val="0"/>
                                                  <w:marTop w:val="0"/>
                                                  <w:marBottom w:val="240"/>
                                                  <w:divBdr>
                                                    <w:top w:val="none" w:sz="0" w:space="0" w:color="auto"/>
                                                    <w:left w:val="none" w:sz="0" w:space="0" w:color="auto"/>
                                                    <w:bottom w:val="none" w:sz="0" w:space="0" w:color="auto"/>
                                                    <w:right w:val="none" w:sz="0" w:space="0" w:color="auto"/>
                                                  </w:divBdr>
                                                  <w:divsChild>
                                                    <w:div w:id="601258114">
                                                      <w:marLeft w:val="0"/>
                                                      <w:marRight w:val="0"/>
                                                      <w:marTop w:val="0"/>
                                                      <w:marBottom w:val="0"/>
                                                      <w:divBdr>
                                                        <w:top w:val="none" w:sz="0" w:space="0" w:color="auto"/>
                                                        <w:left w:val="none" w:sz="0" w:space="0" w:color="auto"/>
                                                        <w:bottom w:val="none" w:sz="0" w:space="0" w:color="auto"/>
                                                        <w:right w:val="none" w:sz="0" w:space="0" w:color="auto"/>
                                                      </w:divBdr>
                                                      <w:divsChild>
                                                        <w:div w:id="1109088603">
                                                          <w:marLeft w:val="0"/>
                                                          <w:marRight w:val="300"/>
                                                          <w:marTop w:val="0"/>
                                                          <w:marBottom w:val="0"/>
                                                          <w:divBdr>
                                                            <w:top w:val="none" w:sz="0" w:space="0" w:color="auto"/>
                                                            <w:left w:val="none" w:sz="0" w:space="0" w:color="auto"/>
                                                            <w:bottom w:val="none" w:sz="0" w:space="0" w:color="auto"/>
                                                            <w:right w:val="none" w:sz="0" w:space="0" w:color="auto"/>
                                                          </w:divBdr>
                                                          <w:divsChild>
                                                            <w:div w:id="230312660">
                                                              <w:marLeft w:val="0"/>
                                                              <w:marRight w:val="0"/>
                                                              <w:marTop w:val="0"/>
                                                              <w:marBottom w:val="300"/>
                                                              <w:divBdr>
                                                                <w:top w:val="none" w:sz="0" w:space="0" w:color="auto"/>
                                                                <w:left w:val="none" w:sz="0" w:space="0" w:color="auto"/>
                                                                <w:bottom w:val="none" w:sz="0" w:space="0" w:color="auto"/>
                                                                <w:right w:val="none" w:sz="0" w:space="0" w:color="auto"/>
                                                              </w:divBdr>
                                                              <w:divsChild>
                                                                <w:div w:id="2467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570608">
      <w:bodyDiv w:val="1"/>
      <w:marLeft w:val="0"/>
      <w:marRight w:val="0"/>
      <w:marTop w:val="0"/>
      <w:marBottom w:val="0"/>
      <w:divBdr>
        <w:top w:val="none" w:sz="0" w:space="0" w:color="auto"/>
        <w:left w:val="none" w:sz="0" w:space="0" w:color="auto"/>
        <w:bottom w:val="none" w:sz="0" w:space="0" w:color="auto"/>
        <w:right w:val="none" w:sz="0" w:space="0" w:color="auto"/>
      </w:divBdr>
    </w:div>
    <w:div w:id="1837959355">
      <w:bodyDiv w:val="1"/>
      <w:marLeft w:val="0"/>
      <w:marRight w:val="0"/>
      <w:marTop w:val="0"/>
      <w:marBottom w:val="0"/>
      <w:divBdr>
        <w:top w:val="none" w:sz="0" w:space="0" w:color="auto"/>
        <w:left w:val="none" w:sz="0" w:space="0" w:color="auto"/>
        <w:bottom w:val="none" w:sz="0" w:space="0" w:color="auto"/>
        <w:right w:val="none" w:sz="0" w:space="0" w:color="auto"/>
      </w:divBdr>
      <w:divsChild>
        <w:div w:id="192813047">
          <w:marLeft w:val="547"/>
          <w:marRight w:val="0"/>
          <w:marTop w:val="0"/>
          <w:marBottom w:val="0"/>
          <w:divBdr>
            <w:top w:val="none" w:sz="0" w:space="0" w:color="auto"/>
            <w:left w:val="none" w:sz="0" w:space="0" w:color="auto"/>
            <w:bottom w:val="none" w:sz="0" w:space="0" w:color="auto"/>
            <w:right w:val="none" w:sz="0" w:space="0" w:color="auto"/>
          </w:divBdr>
        </w:div>
        <w:div w:id="1448740802">
          <w:marLeft w:val="547"/>
          <w:marRight w:val="0"/>
          <w:marTop w:val="0"/>
          <w:marBottom w:val="0"/>
          <w:divBdr>
            <w:top w:val="none" w:sz="0" w:space="0" w:color="auto"/>
            <w:left w:val="none" w:sz="0" w:space="0" w:color="auto"/>
            <w:bottom w:val="none" w:sz="0" w:space="0" w:color="auto"/>
            <w:right w:val="none" w:sz="0" w:space="0" w:color="auto"/>
          </w:divBdr>
        </w:div>
        <w:div w:id="779295787">
          <w:marLeft w:val="547"/>
          <w:marRight w:val="0"/>
          <w:marTop w:val="0"/>
          <w:marBottom w:val="0"/>
          <w:divBdr>
            <w:top w:val="none" w:sz="0" w:space="0" w:color="auto"/>
            <w:left w:val="none" w:sz="0" w:space="0" w:color="auto"/>
            <w:bottom w:val="none" w:sz="0" w:space="0" w:color="auto"/>
            <w:right w:val="none" w:sz="0" w:space="0" w:color="auto"/>
          </w:divBdr>
        </w:div>
        <w:div w:id="2062748572">
          <w:marLeft w:val="547"/>
          <w:marRight w:val="0"/>
          <w:marTop w:val="0"/>
          <w:marBottom w:val="0"/>
          <w:divBdr>
            <w:top w:val="none" w:sz="0" w:space="0" w:color="auto"/>
            <w:left w:val="none" w:sz="0" w:space="0" w:color="auto"/>
            <w:bottom w:val="none" w:sz="0" w:space="0" w:color="auto"/>
            <w:right w:val="none" w:sz="0" w:space="0" w:color="auto"/>
          </w:divBdr>
        </w:div>
        <w:div w:id="750931919">
          <w:marLeft w:val="547"/>
          <w:marRight w:val="0"/>
          <w:marTop w:val="0"/>
          <w:marBottom w:val="0"/>
          <w:divBdr>
            <w:top w:val="none" w:sz="0" w:space="0" w:color="auto"/>
            <w:left w:val="none" w:sz="0" w:space="0" w:color="auto"/>
            <w:bottom w:val="none" w:sz="0" w:space="0" w:color="auto"/>
            <w:right w:val="none" w:sz="0" w:space="0" w:color="auto"/>
          </w:divBdr>
        </w:div>
        <w:div w:id="1614557947">
          <w:marLeft w:val="547"/>
          <w:marRight w:val="0"/>
          <w:marTop w:val="0"/>
          <w:marBottom w:val="0"/>
          <w:divBdr>
            <w:top w:val="none" w:sz="0" w:space="0" w:color="auto"/>
            <w:left w:val="none" w:sz="0" w:space="0" w:color="auto"/>
            <w:bottom w:val="none" w:sz="0" w:space="0" w:color="auto"/>
            <w:right w:val="none" w:sz="0" w:space="0" w:color="auto"/>
          </w:divBdr>
        </w:div>
      </w:divsChild>
    </w:div>
    <w:div w:id="1896119061">
      <w:bodyDiv w:val="1"/>
      <w:marLeft w:val="0"/>
      <w:marRight w:val="0"/>
      <w:marTop w:val="0"/>
      <w:marBottom w:val="0"/>
      <w:divBdr>
        <w:top w:val="none" w:sz="0" w:space="0" w:color="auto"/>
        <w:left w:val="none" w:sz="0" w:space="0" w:color="auto"/>
        <w:bottom w:val="none" w:sz="0" w:space="0" w:color="auto"/>
        <w:right w:val="none" w:sz="0" w:space="0" w:color="auto"/>
      </w:divBdr>
      <w:divsChild>
        <w:div w:id="1000235276">
          <w:marLeft w:val="274"/>
          <w:marRight w:val="0"/>
          <w:marTop w:val="0"/>
          <w:marBottom w:val="0"/>
          <w:divBdr>
            <w:top w:val="none" w:sz="0" w:space="0" w:color="auto"/>
            <w:left w:val="none" w:sz="0" w:space="0" w:color="auto"/>
            <w:bottom w:val="none" w:sz="0" w:space="0" w:color="auto"/>
            <w:right w:val="none" w:sz="0" w:space="0" w:color="auto"/>
          </w:divBdr>
        </w:div>
        <w:div w:id="466555154">
          <w:marLeft w:val="274"/>
          <w:marRight w:val="0"/>
          <w:marTop w:val="0"/>
          <w:marBottom w:val="0"/>
          <w:divBdr>
            <w:top w:val="none" w:sz="0" w:space="0" w:color="auto"/>
            <w:left w:val="none" w:sz="0" w:space="0" w:color="auto"/>
            <w:bottom w:val="none" w:sz="0" w:space="0" w:color="auto"/>
            <w:right w:val="none" w:sz="0" w:space="0" w:color="auto"/>
          </w:divBdr>
        </w:div>
      </w:divsChild>
    </w:div>
    <w:div w:id="1915624110">
      <w:bodyDiv w:val="1"/>
      <w:marLeft w:val="0"/>
      <w:marRight w:val="0"/>
      <w:marTop w:val="0"/>
      <w:marBottom w:val="0"/>
      <w:divBdr>
        <w:top w:val="none" w:sz="0" w:space="0" w:color="auto"/>
        <w:left w:val="none" w:sz="0" w:space="0" w:color="auto"/>
        <w:bottom w:val="none" w:sz="0" w:space="0" w:color="auto"/>
        <w:right w:val="none" w:sz="0" w:space="0" w:color="auto"/>
      </w:divBdr>
      <w:divsChild>
        <w:div w:id="1233854990">
          <w:marLeft w:val="389"/>
          <w:marRight w:val="0"/>
          <w:marTop w:val="160"/>
          <w:marBottom w:val="0"/>
          <w:divBdr>
            <w:top w:val="none" w:sz="0" w:space="0" w:color="auto"/>
            <w:left w:val="none" w:sz="0" w:space="0" w:color="auto"/>
            <w:bottom w:val="none" w:sz="0" w:space="0" w:color="auto"/>
            <w:right w:val="none" w:sz="0" w:space="0" w:color="auto"/>
          </w:divBdr>
        </w:div>
      </w:divsChild>
    </w:div>
    <w:div w:id="1998722737">
      <w:bodyDiv w:val="1"/>
      <w:marLeft w:val="0"/>
      <w:marRight w:val="0"/>
      <w:marTop w:val="0"/>
      <w:marBottom w:val="0"/>
      <w:divBdr>
        <w:top w:val="none" w:sz="0" w:space="0" w:color="auto"/>
        <w:left w:val="none" w:sz="0" w:space="0" w:color="auto"/>
        <w:bottom w:val="none" w:sz="0" w:space="0" w:color="auto"/>
        <w:right w:val="none" w:sz="0" w:space="0" w:color="auto"/>
      </w:divBdr>
    </w:div>
    <w:div w:id="2034650568">
      <w:bodyDiv w:val="1"/>
      <w:marLeft w:val="0"/>
      <w:marRight w:val="0"/>
      <w:marTop w:val="0"/>
      <w:marBottom w:val="0"/>
      <w:divBdr>
        <w:top w:val="none" w:sz="0" w:space="0" w:color="auto"/>
        <w:left w:val="none" w:sz="0" w:space="0" w:color="auto"/>
        <w:bottom w:val="none" w:sz="0" w:space="0" w:color="auto"/>
        <w:right w:val="none" w:sz="0" w:space="0" w:color="auto"/>
      </w:divBdr>
      <w:divsChild>
        <w:div w:id="397558320">
          <w:marLeft w:val="389"/>
          <w:marRight w:val="0"/>
          <w:marTop w:val="58"/>
          <w:marBottom w:val="120"/>
          <w:divBdr>
            <w:top w:val="none" w:sz="0" w:space="0" w:color="auto"/>
            <w:left w:val="none" w:sz="0" w:space="0" w:color="auto"/>
            <w:bottom w:val="none" w:sz="0" w:space="0" w:color="auto"/>
            <w:right w:val="none" w:sz="0" w:space="0" w:color="auto"/>
          </w:divBdr>
        </w:div>
        <w:div w:id="1888226041">
          <w:marLeft w:val="389"/>
          <w:marRight w:val="0"/>
          <w:marTop w:val="58"/>
          <w:marBottom w:val="120"/>
          <w:divBdr>
            <w:top w:val="none" w:sz="0" w:space="0" w:color="auto"/>
            <w:left w:val="none" w:sz="0" w:space="0" w:color="auto"/>
            <w:bottom w:val="none" w:sz="0" w:space="0" w:color="auto"/>
            <w:right w:val="none" w:sz="0" w:space="0" w:color="auto"/>
          </w:divBdr>
        </w:div>
      </w:divsChild>
    </w:div>
    <w:div w:id="2108577701">
      <w:bodyDiv w:val="1"/>
      <w:marLeft w:val="0"/>
      <w:marRight w:val="0"/>
      <w:marTop w:val="0"/>
      <w:marBottom w:val="0"/>
      <w:divBdr>
        <w:top w:val="none" w:sz="0" w:space="0" w:color="auto"/>
        <w:left w:val="none" w:sz="0" w:space="0" w:color="auto"/>
        <w:bottom w:val="none" w:sz="0" w:space="0" w:color="auto"/>
        <w:right w:val="none" w:sz="0" w:space="0" w:color="auto"/>
      </w:divBdr>
      <w:divsChild>
        <w:div w:id="166292664">
          <w:marLeft w:val="389"/>
          <w:marRight w:val="0"/>
          <w:marTop w:val="5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publications/risk-potential-assessment-for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publications/cabinet-office-controls" TargetMode="External"/><Relationship Id="rId25" Type="http://schemas.openxmlformats.org/officeDocument/2006/relationships/hyperlink" Target="mailto:portfoliogovernance@homeoffice.gsi.gov.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gov.uk/government/collections/infrastructure-and-projects-authority-assurance-review-toolki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emf"/><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gov.uk/government/publications/home-office-major-projects-appointment-letters-for-senior-responsible-owner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7c09a6c-e0e3-4477-ae9b-2effd2a8cb0c" ContentTypeId="0x01010013C1D610CEDDE9499BC03C1C1CDDDA230601" PreviousValue="true"/>
</file>

<file path=customXml/item2.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B186F69B8021F74DA7DA537BFF72B667" ma:contentTypeVersion="30" ma:contentTypeDescription="Process Support Document" ma:contentTypeScope="" ma:versionID="809a2bdd0985df40e8fab08ed49670d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834c9a549007a0f9cc1f88548dc7548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79dec358-26f8-4e4c-983b-12d0919db35d}" ma:internalName="TaxCatchAll" ma:showField="CatchAllData"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79dec358-26f8-4e4c-983b-12d0919db35d}" ma:internalName="TaxCatchAllLabel" ma:readOnly="true" ma:showField="CatchAllDataLabel"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Capabilities and Resources Group</TermName>
          <TermId xmlns="http://schemas.microsoft.com/office/infopath/2007/PartnerControls">d06be01d-00a1-4048-a6c4-c027f34bc366</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Portfolio and Project Delivery Directorate</TermName>
          <TermId xmlns="http://schemas.microsoft.com/office/infopath/2007/PartnerControls">be85fb57-3de2-46a4-b668-d440a421daeb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93ef41ef-4682-4fab-bd2c-afa4579842cf</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HOPROCGV-4-1</TermName>
          <TermId xmlns="http://schemas.microsoft.com/office/infopath/2007/PartnerControls">1b1ee9be-358b-42ee-b37b-8c2a2bd5e2f2</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Business Planning and Performance</TermName>
          <TermId xmlns="http://schemas.microsoft.com/office/infopath/2007/PartnerControls">7e1db4db-6f9e-448c-a03a-9ccf1c3ce9d4</TermId>
        </TermInfo>
      </Terms>
    </b99f654170d7414fbed3ae1b88b536ed>
    <_dlc_ExpireDateSaved xmlns="http://schemas.microsoft.com/sharepoint/v3" xsi:nil="true"/>
    <_dlc_ExpireDate xmlns="http://schemas.microsoft.com/sharepoint/v3">2019-08-15T14:36:41+00:00</_dlc_ExpireDate>
    <_dlc_DocId xmlns="6118b057-8ff5-44e4-b1de-321b26ad5719">HOPROCGV-11-4893</_dlc_DocId>
    <_dlc_DocIdUrl xmlns="6118b057-8ff5-44e4-b1de-321b26ad5719">
      <Url>http://teams.t02.fgcs.local/sites/PROCGV/PPDPROC/_layouts/DocIdRedir.aspx?ID=HOPROCGV-11-4893</Url>
      <Description>HOPROCGV-11-4893</Description>
    </_dlc_DocIdUrl>
    <_dlc_Exempt xmlns="http://schemas.microsoft.com/sharepoint/v3">false</_dlc_Exempt>
    <_dlc_DocIdPersistId xmlns="6118b057-8ff5-44e4-b1de-321b26ad5719">false</_dlc_DocIdPersistId>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57C52-04DA-43D5-8333-49AA6267B7D7}"/>
</file>

<file path=customXml/itemProps2.xml><?xml version="1.0" encoding="utf-8"?>
<ds:datastoreItem xmlns:ds="http://schemas.openxmlformats.org/officeDocument/2006/customXml" ds:itemID="{C2E1DF50-E1B6-49DD-853F-A5E1FDA6BDD7}"/>
</file>

<file path=customXml/itemProps3.xml><?xml version="1.0" encoding="utf-8"?>
<ds:datastoreItem xmlns:ds="http://schemas.openxmlformats.org/officeDocument/2006/customXml" ds:itemID="{800C8EE8-A600-4F90-BE56-8445FB0B1B7E}"/>
</file>

<file path=customXml/itemProps4.xml><?xml version="1.0" encoding="utf-8"?>
<ds:datastoreItem xmlns:ds="http://schemas.openxmlformats.org/officeDocument/2006/customXml" ds:itemID="{EFABF6AB-7852-4DB1-B0DF-BA1430C5873F}"/>
</file>

<file path=customXml/itemProps5.xml><?xml version="1.0" encoding="utf-8"?>
<ds:datastoreItem xmlns:ds="http://schemas.openxmlformats.org/officeDocument/2006/customXml" ds:itemID="{6CF9D9F9-9957-455F-BF63-408AF7C6123A}"/>
</file>

<file path=customXml/itemProps6.xml><?xml version="1.0" encoding="utf-8"?>
<ds:datastoreItem xmlns:ds="http://schemas.openxmlformats.org/officeDocument/2006/customXml" ds:itemID="{CAFE74F2-AC8F-4D21-92DB-83797A1248F4}"/>
</file>

<file path=customXml/itemProps7.xml><?xml version="1.0" encoding="utf-8"?>
<ds:datastoreItem xmlns:ds="http://schemas.openxmlformats.org/officeDocument/2006/customXml" ds:itemID="{13E80992-2EF3-4B2F-9E36-462CF949015C}"/>
</file>

<file path=docProps/app.xml><?xml version="1.0" encoding="utf-8"?>
<Properties xmlns="http://schemas.openxmlformats.org/officeDocument/2006/extended-properties" xmlns:vt="http://schemas.openxmlformats.org/officeDocument/2006/docPropsVTypes">
  <Template>A1783736</Template>
  <TotalTime>0</TotalTime>
  <Pages>18</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Project Integrated Assurance Framework</vt:lpstr>
    </vt:vector>
  </TitlesOfParts>
  <Company>Home Office</Company>
  <LinksUpToDate>false</LinksUpToDate>
  <CharactersWithSpaces>23885</CharactersWithSpaces>
  <SharedDoc>false</SharedDoc>
  <HLinks>
    <vt:vector size="36" baseType="variant">
      <vt:variant>
        <vt:i4>4522003</vt:i4>
      </vt:variant>
      <vt:variant>
        <vt:i4>15</vt:i4>
      </vt:variant>
      <vt:variant>
        <vt:i4>0</vt:i4>
      </vt:variant>
      <vt:variant>
        <vt:i4>5</vt:i4>
      </vt:variant>
      <vt:variant>
        <vt:lpwstr>https://www.gov.uk/government/uploads/system/uploads/attachment_data/file/576015/Treasury_approvals_process_for_programmes_and_</vt:lpwstr>
      </vt:variant>
      <vt:variant>
        <vt:lpwstr/>
      </vt:variant>
      <vt:variant>
        <vt:i4>4522003</vt:i4>
      </vt:variant>
      <vt:variant>
        <vt:i4>12</vt:i4>
      </vt:variant>
      <vt:variant>
        <vt:i4>0</vt:i4>
      </vt:variant>
      <vt:variant>
        <vt:i4>5</vt:i4>
      </vt:variant>
      <vt:variant>
        <vt:lpwstr>https://www.gov.uk/government/uploads/system/uploads/attachment_data/file/576015/Treasury_approvals_process_for_programmes_and_</vt:lpwstr>
      </vt:variant>
      <vt:variant>
        <vt:lpwstr/>
      </vt:variant>
      <vt:variant>
        <vt:i4>5046303</vt:i4>
      </vt:variant>
      <vt:variant>
        <vt:i4>9</vt:i4>
      </vt:variant>
      <vt:variant>
        <vt:i4>0</vt:i4>
      </vt:variant>
      <vt:variant>
        <vt:i4>5</vt:i4>
      </vt:variant>
      <vt:variant>
        <vt:lpwstr>https://www.gov.uk/government/organisations/infrastructure-and-projects-authority</vt:lpwstr>
      </vt:variant>
      <vt:variant>
        <vt:lpwstr/>
      </vt:variant>
      <vt:variant>
        <vt:i4>3670022</vt:i4>
      </vt:variant>
      <vt:variant>
        <vt:i4>6</vt:i4>
      </vt:variant>
      <vt:variant>
        <vt:i4>0</vt:i4>
      </vt:variant>
      <vt:variant>
        <vt:i4>5</vt:i4>
      </vt:variant>
      <vt:variant>
        <vt:lpwstr>mailto:psi@nationalarchives.gsi.gov.uk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Integrated Assurance Framework</dc:title>
  <dc:subject/>
  <dc:creator>Phil Kemp</dc:creator>
  <cp:keywords/>
  <dc:description/>
  <cp:lastModifiedBy>Von Hornhardt Bettina</cp:lastModifiedBy>
  <cp:revision>2</cp:revision>
  <cp:lastPrinted>2018-04-06T11:02:00Z</cp:lastPrinted>
  <dcterms:created xsi:type="dcterms:W3CDTF">2018-08-15T14:36:00Z</dcterms:created>
  <dcterms:modified xsi:type="dcterms:W3CDTF">2018-08-15T14:36:00Z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1ebca040-ed55-4413-a371-18ebb0e93bef</vt:lpwstr>
  </property>
  <property fmtid="{D5CDD505-2E9C-101B-9397-08002B2CF9AE}" pid="15" name="ContentTypeId">
    <vt:lpwstr>0x01010013C1D610CEDDE9499BC03C1C1CDDDA23060100B186F69B8021F74DA7DA537BFF72B667</vt:lpwstr>
  </property>
  <property fmtid="{D5CDD505-2E9C-101B-9397-08002B2CF9AE}" pid="16" name="Directorate/Group Level">
    <vt:lpwstr>16</vt:lpwstr>
  </property>
  <property fmtid="{D5CDD505-2E9C-101B-9397-08002B2CF9AE}" pid="17" name="Prcs Site ID">
    <vt:lpwstr>20</vt:lpwstr>
  </property>
  <property fmtid="{D5CDD505-2E9C-101B-9397-08002B2CF9AE}" pid="18" name="Business Function Level 2">
    <vt:lpwstr>19</vt:lpwstr>
  </property>
  <property fmtid="{D5CDD505-2E9C-101B-9397-08002B2CF9AE}" pid="19" name="Content Classification">
    <vt:lpwstr>1</vt:lpwstr>
  </property>
  <property fmtid="{D5CDD505-2E9C-101B-9397-08002B2CF9AE}" pid="20" name="Business Function Level 1">
    <vt:lpwstr>18</vt:lpwstr>
  </property>
  <property fmtid="{D5CDD505-2E9C-101B-9397-08002B2CF9AE}" pid="21" name="Business Unit Level">
    <vt:lpwstr>17</vt:lpwstr>
  </property>
  <property fmtid="{D5CDD505-2E9C-101B-9397-08002B2CF9AE}" pid="22" name="_dlc_policyId">
    <vt:lpwstr>0x01010013C1D610CEDDE9499BC03C1C1CDDDA2306|-1567044647</vt:lpwstr>
  </property>
  <property fmtid="{D5CDD505-2E9C-101B-9397-08002B2CF9AE}" pid="2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24" name="_dlc_DocIdItemGuid">
    <vt:lpwstr>913fb733-cfa2-4103-a8a6-b3e2921a4b06</vt:lpwstr>
  </property>
  <property fmtid="{D5CDD505-2E9C-101B-9397-08002B2CF9AE}" pid="26" name="dlc_EmailMailbox">
    <vt:lpwstr/>
  </property>
  <property fmtid="{D5CDD505-2E9C-101B-9397-08002B2CF9AE}" pid="27" name="dlc_EmailBCC">
    <vt:lpwstr/>
  </property>
  <property fmtid="{D5CDD505-2E9C-101B-9397-08002B2CF9AE}" pid="29" name="ol_Department">
    <vt:lpwstr/>
  </property>
  <property fmtid="{D5CDD505-2E9C-101B-9397-08002B2CF9AE}" pid="30" name="WorkState">
    <vt:lpwstr/>
  </property>
  <property fmtid="{D5CDD505-2E9C-101B-9397-08002B2CF9AE}" pid="31" name="WorkCountry">
    <vt:lpwstr/>
  </property>
  <property fmtid="{D5CDD505-2E9C-101B-9397-08002B2CF9AE}" pid="32" name="xd_ProgID">
    <vt:lpwstr/>
  </property>
  <property fmtid="{D5CDD505-2E9C-101B-9397-08002B2CF9AE}" pid="33" name="_SourceUrl">
    <vt:lpwstr/>
  </property>
  <property fmtid="{D5CDD505-2E9C-101B-9397-08002B2CF9AE}" pid="34" name="_SharedFileIndex">
    <vt:lpwstr/>
  </property>
  <property fmtid="{D5CDD505-2E9C-101B-9397-08002B2CF9AE}" pid="35" name="Folder Description">
    <vt:lpwstr/>
  </property>
  <property fmtid="{D5CDD505-2E9C-101B-9397-08002B2CF9AE}" pid="36" name="dlc_EmailTo">
    <vt:lpwstr/>
  </property>
  <property fmtid="{D5CDD505-2E9C-101B-9397-08002B2CF9AE}" pid="38" name="WorkAddress">
    <vt:lpwstr/>
  </property>
  <property fmtid="{D5CDD505-2E9C-101B-9397-08002B2CF9AE}" pid="39" name="WorkCity">
    <vt:lpwstr/>
  </property>
  <property fmtid="{D5CDD505-2E9C-101B-9397-08002B2CF9AE}" pid="40" name="cx_originalversion">
    <vt:lpwstr>1.2</vt:lpwstr>
  </property>
  <property fmtid="{D5CDD505-2E9C-101B-9397-08002B2CF9AE}" pid="41" name="TemplateUrl">
    <vt:lpwstr/>
  </property>
  <property fmtid="{D5CDD505-2E9C-101B-9397-08002B2CF9AE}" pid="42" name="WorkZip">
    <vt:lpwstr/>
  </property>
  <property fmtid="{D5CDD505-2E9C-101B-9397-08002B2CF9AE}" pid="43" name="IconOverlay">
    <vt:lpwstr/>
  </property>
  <property fmtid="{D5CDD505-2E9C-101B-9397-08002B2CF9AE}" pid="44" name="Deleted">
    <vt:lpwstr/>
  </property>
  <property fmtid="{D5CDD505-2E9C-101B-9397-08002B2CF9AE}" pid="45" name="FileReference">
    <vt:lpwstr/>
  </property>
  <property fmtid="{D5CDD505-2E9C-101B-9397-08002B2CF9AE}" pid="46" name="FileDescription">
    <vt:lpwstr/>
  </property>
  <property fmtid="{D5CDD505-2E9C-101B-9397-08002B2CF9AE}" pid="47" name="dlc_EmailFrom">
    <vt:lpwstr/>
  </property>
  <property fmtid="{D5CDD505-2E9C-101B-9397-08002B2CF9AE}" pid="48" name="Office">
    <vt:lpwstr/>
  </property>
  <property fmtid="{D5CDD505-2E9C-101B-9397-08002B2CF9AE}" pid="49" name="URL">
    <vt:lpwstr/>
  </property>
  <property fmtid="{D5CDD505-2E9C-101B-9397-08002B2CF9AE}" pid="50" name="xd_Signature">
    <vt:bool>false</vt:bool>
  </property>
  <property fmtid="{D5CDD505-2E9C-101B-9397-08002B2CF9AE}" pid="51" name="dlc_EmailCC">
    <vt:lpwstr/>
  </property>
  <property fmtid="{D5CDD505-2E9C-101B-9397-08002B2CF9AE}" pid="52" name="dlc_EmailSubject">
    <vt:lpwstr/>
  </property>
  <property fmtid="{D5CDD505-2E9C-101B-9397-08002B2CF9AE}" pid="53" name="Location">
    <vt:lpwstr/>
  </property>
  <property fmtid="{D5CDD505-2E9C-101B-9397-08002B2CF9AE}" pid="54" name="CX_RelocationTimestamp">
    <vt:lpwstr>2018-09-24T11:09:45Z</vt:lpwstr>
  </property>
  <property fmtid="{D5CDD505-2E9C-101B-9397-08002B2CF9AE}" pid="55" name="CX_RelocationUser">
    <vt:lpwstr>Chris Plausin</vt:lpwstr>
  </property>
  <property fmtid="{D5CDD505-2E9C-101B-9397-08002B2CF9AE}" pid="56" name="CX_RelocationOperation">
    <vt:lpwstr>Copy</vt:lpwstr>
  </property>
</Properties>
</file>