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82" w:rsidRPr="001261A1" w:rsidRDefault="00073482" w:rsidP="00073482">
      <w:pPr>
        <w:pStyle w:val="Sectiontitle"/>
        <w:rPr>
          <w:b/>
        </w:rPr>
      </w:pPr>
      <w:r w:rsidRPr="001261A1">
        <w:rPr>
          <w:b/>
        </w:rPr>
        <w:t xml:space="preserve">[Programme/ Project Name] </w:t>
      </w:r>
    </w:p>
    <w:p w:rsidR="00073482" w:rsidRDefault="00073482" w:rsidP="00073482">
      <w:pPr>
        <w:pStyle w:val="Sectiontitle"/>
      </w:pPr>
      <w:r>
        <w:t>Risk Management Strategy</w:t>
      </w: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073731">
        <w:t xml:space="preserve">Month </w:t>
      </w:r>
      <w:proofErr w:type="spellStart"/>
      <w:r w:rsidR="00073731">
        <w:t>YYYY</w:t>
      </w:r>
      <w:proofErr w:type="spellEnd"/>
      <w:r w:rsidR="00AB465B">
        <w:t>]</w:t>
      </w:r>
    </w:p>
    <w:p w:rsidR="00AB465B" w:rsidRDefault="00AB465B" w:rsidP="00AB465B">
      <w:pPr>
        <w:pStyle w:val="BodyText"/>
      </w:pPr>
    </w:p>
    <w:p w:rsidR="00AB465B" w:rsidRDefault="00AB465B" w:rsidP="00AB465B">
      <w:pPr>
        <w:pStyle w:val="BodyText"/>
      </w:pPr>
    </w:p>
    <w:p w:rsidR="00EB7156" w:rsidRDefault="00B10BC4" w:rsidP="00AB465B">
      <w:pPr>
        <w:pStyle w:val="BodyText"/>
      </w:pPr>
      <w:r>
        <w:br w:type="page"/>
      </w:r>
    </w:p>
    <w:p w:rsidR="004374A7" w:rsidRDefault="004374A7" w:rsidP="000605B4">
      <w:pPr>
        <w:pStyle w:val="BodyText"/>
      </w:pPr>
    </w:p>
    <w:p w:rsidR="00D3080E" w:rsidRDefault="00D3080E" w:rsidP="00D3080E">
      <w:pPr>
        <w:pStyle w:val="Heading-contents"/>
      </w:pPr>
      <w:r>
        <w:lastRenderedPageBreak/>
        <w:t>Contents</w:t>
      </w:r>
    </w:p>
    <w:p w:rsidR="00813B69" w:rsidRDefault="005302A8">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0884371" w:history="1">
        <w:r w:rsidR="00813B69" w:rsidRPr="00BD4773">
          <w:rPr>
            <w:rStyle w:val="Hyperlink"/>
            <w:noProof/>
          </w:rPr>
          <w:t>Purpose</w:t>
        </w:r>
        <w:r w:rsidR="00813B69">
          <w:rPr>
            <w:noProof/>
            <w:webHidden/>
          </w:rPr>
          <w:tab/>
        </w:r>
        <w:r>
          <w:rPr>
            <w:noProof/>
            <w:webHidden/>
          </w:rPr>
          <w:fldChar w:fldCharType="begin"/>
        </w:r>
        <w:r w:rsidR="00813B69">
          <w:rPr>
            <w:noProof/>
            <w:webHidden/>
          </w:rPr>
          <w:instrText xml:space="preserve"> PAGEREF _Toc520884371 \h </w:instrText>
        </w:r>
        <w:r>
          <w:rPr>
            <w:noProof/>
            <w:webHidden/>
          </w:rPr>
        </w:r>
        <w:r>
          <w:rPr>
            <w:noProof/>
            <w:webHidden/>
          </w:rPr>
          <w:fldChar w:fldCharType="separate"/>
        </w:r>
        <w:r w:rsidR="00813B69">
          <w:rPr>
            <w:noProof/>
            <w:webHidden/>
          </w:rPr>
          <w:t>2</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2" w:history="1">
        <w:r w:rsidR="00813B69" w:rsidRPr="00BD4773">
          <w:rPr>
            <w:rStyle w:val="Hyperlink"/>
            <w:noProof/>
          </w:rPr>
          <w:t>Glossary</w:t>
        </w:r>
        <w:r w:rsidR="00813B69">
          <w:rPr>
            <w:noProof/>
            <w:webHidden/>
          </w:rPr>
          <w:tab/>
        </w:r>
        <w:r>
          <w:rPr>
            <w:noProof/>
            <w:webHidden/>
          </w:rPr>
          <w:fldChar w:fldCharType="begin"/>
        </w:r>
        <w:r w:rsidR="00813B69">
          <w:rPr>
            <w:noProof/>
            <w:webHidden/>
          </w:rPr>
          <w:instrText xml:space="preserve"> PAGEREF _Toc520884372 \h </w:instrText>
        </w:r>
        <w:r>
          <w:rPr>
            <w:noProof/>
            <w:webHidden/>
          </w:rPr>
        </w:r>
        <w:r>
          <w:rPr>
            <w:noProof/>
            <w:webHidden/>
          </w:rPr>
          <w:fldChar w:fldCharType="separate"/>
        </w:r>
        <w:r w:rsidR="00813B69">
          <w:rPr>
            <w:noProof/>
            <w:webHidden/>
          </w:rPr>
          <w:t>3</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3" w:history="1">
        <w:r w:rsidR="00813B69" w:rsidRPr="00BD4773">
          <w:rPr>
            <w:rStyle w:val="Hyperlink"/>
            <w:noProof/>
          </w:rPr>
          <w:t>Roles and responsibilities</w:t>
        </w:r>
        <w:r w:rsidR="00813B69">
          <w:rPr>
            <w:noProof/>
            <w:webHidden/>
          </w:rPr>
          <w:tab/>
        </w:r>
        <w:r>
          <w:rPr>
            <w:noProof/>
            <w:webHidden/>
          </w:rPr>
          <w:fldChar w:fldCharType="begin"/>
        </w:r>
        <w:r w:rsidR="00813B69">
          <w:rPr>
            <w:noProof/>
            <w:webHidden/>
          </w:rPr>
          <w:instrText xml:space="preserve"> PAGEREF _Toc520884373 \h </w:instrText>
        </w:r>
        <w:r>
          <w:rPr>
            <w:noProof/>
            <w:webHidden/>
          </w:rPr>
        </w:r>
        <w:r>
          <w:rPr>
            <w:noProof/>
            <w:webHidden/>
          </w:rPr>
          <w:fldChar w:fldCharType="separate"/>
        </w:r>
        <w:r w:rsidR="00813B69">
          <w:rPr>
            <w:noProof/>
            <w:webHidden/>
          </w:rPr>
          <w:t>4</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4" w:history="1">
        <w:r w:rsidR="00813B69" w:rsidRPr="00BD4773">
          <w:rPr>
            <w:rStyle w:val="Hyperlink"/>
            <w:noProof/>
          </w:rPr>
          <w:t>Risk Management Process</w:t>
        </w:r>
        <w:r w:rsidR="00813B69">
          <w:rPr>
            <w:noProof/>
            <w:webHidden/>
          </w:rPr>
          <w:tab/>
        </w:r>
        <w:r>
          <w:rPr>
            <w:noProof/>
            <w:webHidden/>
          </w:rPr>
          <w:fldChar w:fldCharType="begin"/>
        </w:r>
        <w:r w:rsidR="00813B69">
          <w:rPr>
            <w:noProof/>
            <w:webHidden/>
          </w:rPr>
          <w:instrText xml:space="preserve"> PAGEREF _Toc520884374 \h </w:instrText>
        </w:r>
        <w:r>
          <w:rPr>
            <w:noProof/>
            <w:webHidden/>
          </w:rPr>
        </w:r>
        <w:r>
          <w:rPr>
            <w:noProof/>
            <w:webHidden/>
          </w:rPr>
          <w:fldChar w:fldCharType="separate"/>
        </w:r>
        <w:r w:rsidR="00813B69">
          <w:rPr>
            <w:noProof/>
            <w:webHidden/>
          </w:rPr>
          <w:t>6</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5" w:history="1">
        <w:r w:rsidR="00813B69" w:rsidRPr="00BD4773">
          <w:rPr>
            <w:rStyle w:val="Hyperlink"/>
            <w:noProof/>
          </w:rPr>
          <w:t>Communication and engagement</w:t>
        </w:r>
        <w:r w:rsidR="00813B69">
          <w:rPr>
            <w:noProof/>
            <w:webHidden/>
          </w:rPr>
          <w:tab/>
        </w:r>
        <w:r>
          <w:rPr>
            <w:noProof/>
            <w:webHidden/>
          </w:rPr>
          <w:fldChar w:fldCharType="begin"/>
        </w:r>
        <w:r w:rsidR="00813B69">
          <w:rPr>
            <w:noProof/>
            <w:webHidden/>
          </w:rPr>
          <w:instrText xml:space="preserve"> PAGEREF _Toc520884375 \h </w:instrText>
        </w:r>
        <w:r>
          <w:rPr>
            <w:noProof/>
            <w:webHidden/>
          </w:rPr>
        </w:r>
        <w:r>
          <w:rPr>
            <w:noProof/>
            <w:webHidden/>
          </w:rPr>
          <w:fldChar w:fldCharType="separate"/>
        </w:r>
        <w:r w:rsidR="00813B69">
          <w:rPr>
            <w:noProof/>
            <w:webHidden/>
          </w:rPr>
          <w:t>8</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6" w:history="1">
        <w:r w:rsidR="00813B69" w:rsidRPr="00BD4773">
          <w:rPr>
            <w:rStyle w:val="Hyperlink"/>
            <w:noProof/>
          </w:rPr>
          <w:t>Techniques</w:t>
        </w:r>
        <w:r w:rsidR="00813B69">
          <w:rPr>
            <w:noProof/>
            <w:webHidden/>
          </w:rPr>
          <w:tab/>
        </w:r>
        <w:r>
          <w:rPr>
            <w:noProof/>
            <w:webHidden/>
          </w:rPr>
          <w:fldChar w:fldCharType="begin"/>
        </w:r>
        <w:r w:rsidR="00813B69">
          <w:rPr>
            <w:noProof/>
            <w:webHidden/>
          </w:rPr>
          <w:instrText xml:space="preserve"> PAGEREF _Toc520884376 \h </w:instrText>
        </w:r>
        <w:r>
          <w:rPr>
            <w:noProof/>
            <w:webHidden/>
          </w:rPr>
        </w:r>
        <w:r>
          <w:rPr>
            <w:noProof/>
            <w:webHidden/>
          </w:rPr>
          <w:fldChar w:fldCharType="separate"/>
        </w:r>
        <w:r w:rsidR="00813B69">
          <w:rPr>
            <w:noProof/>
            <w:webHidden/>
          </w:rPr>
          <w:t>9</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7" w:history="1">
        <w:r w:rsidR="00813B69" w:rsidRPr="00BD4773">
          <w:rPr>
            <w:rStyle w:val="Hyperlink"/>
            <w:noProof/>
          </w:rPr>
          <w:t>Benefits Management Interface</w:t>
        </w:r>
        <w:r w:rsidR="00813B69">
          <w:rPr>
            <w:noProof/>
            <w:webHidden/>
          </w:rPr>
          <w:tab/>
        </w:r>
        <w:r>
          <w:rPr>
            <w:noProof/>
            <w:webHidden/>
          </w:rPr>
          <w:fldChar w:fldCharType="begin"/>
        </w:r>
        <w:r w:rsidR="00813B69">
          <w:rPr>
            <w:noProof/>
            <w:webHidden/>
          </w:rPr>
          <w:instrText xml:space="preserve"> PAGEREF _Toc520884377 \h </w:instrText>
        </w:r>
        <w:r>
          <w:rPr>
            <w:noProof/>
            <w:webHidden/>
          </w:rPr>
        </w:r>
        <w:r>
          <w:rPr>
            <w:noProof/>
            <w:webHidden/>
          </w:rPr>
          <w:fldChar w:fldCharType="separate"/>
        </w:r>
        <w:r w:rsidR="00813B69">
          <w:rPr>
            <w:noProof/>
            <w:webHidden/>
          </w:rPr>
          <w:t>10</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8" w:history="1">
        <w:r w:rsidR="00813B69" w:rsidRPr="00BD4773">
          <w:rPr>
            <w:rStyle w:val="Hyperlink"/>
            <w:noProof/>
          </w:rPr>
          <w:t>Early warning indicators</w:t>
        </w:r>
        <w:r w:rsidR="00813B69">
          <w:rPr>
            <w:noProof/>
            <w:webHidden/>
          </w:rPr>
          <w:tab/>
        </w:r>
        <w:r>
          <w:rPr>
            <w:noProof/>
            <w:webHidden/>
          </w:rPr>
          <w:fldChar w:fldCharType="begin"/>
        </w:r>
        <w:r w:rsidR="00813B69">
          <w:rPr>
            <w:noProof/>
            <w:webHidden/>
          </w:rPr>
          <w:instrText xml:space="preserve"> PAGEREF _Toc520884378 \h </w:instrText>
        </w:r>
        <w:r>
          <w:rPr>
            <w:noProof/>
            <w:webHidden/>
          </w:rPr>
        </w:r>
        <w:r>
          <w:rPr>
            <w:noProof/>
            <w:webHidden/>
          </w:rPr>
          <w:fldChar w:fldCharType="separate"/>
        </w:r>
        <w:r w:rsidR="00813B69">
          <w:rPr>
            <w:noProof/>
            <w:webHidden/>
          </w:rPr>
          <w:t>11</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79" w:history="1">
        <w:r w:rsidR="00813B69" w:rsidRPr="00BD4773">
          <w:rPr>
            <w:rStyle w:val="Hyperlink"/>
            <w:noProof/>
          </w:rPr>
          <w:t>Risk management activities and escalation</w:t>
        </w:r>
        <w:r w:rsidR="00813B69">
          <w:rPr>
            <w:noProof/>
            <w:webHidden/>
          </w:rPr>
          <w:tab/>
        </w:r>
        <w:r>
          <w:rPr>
            <w:noProof/>
            <w:webHidden/>
          </w:rPr>
          <w:fldChar w:fldCharType="begin"/>
        </w:r>
        <w:r w:rsidR="00813B69">
          <w:rPr>
            <w:noProof/>
            <w:webHidden/>
          </w:rPr>
          <w:instrText xml:space="preserve"> PAGEREF _Toc520884379 \h </w:instrText>
        </w:r>
        <w:r>
          <w:rPr>
            <w:noProof/>
            <w:webHidden/>
          </w:rPr>
        </w:r>
        <w:r>
          <w:rPr>
            <w:noProof/>
            <w:webHidden/>
          </w:rPr>
          <w:fldChar w:fldCharType="separate"/>
        </w:r>
        <w:r w:rsidR="00813B69">
          <w:rPr>
            <w:noProof/>
            <w:webHidden/>
          </w:rPr>
          <w:t>12</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80" w:history="1">
        <w:r w:rsidR="00813B69" w:rsidRPr="00BD4773">
          <w:rPr>
            <w:rStyle w:val="Hyperlink"/>
            <w:noProof/>
          </w:rPr>
          <w:t>Information flows</w:t>
        </w:r>
        <w:r w:rsidR="00813B69">
          <w:rPr>
            <w:noProof/>
            <w:webHidden/>
          </w:rPr>
          <w:tab/>
        </w:r>
        <w:r>
          <w:rPr>
            <w:noProof/>
            <w:webHidden/>
          </w:rPr>
          <w:fldChar w:fldCharType="begin"/>
        </w:r>
        <w:r w:rsidR="00813B69">
          <w:rPr>
            <w:noProof/>
            <w:webHidden/>
          </w:rPr>
          <w:instrText xml:space="preserve"> PAGEREF _Toc520884380 \h </w:instrText>
        </w:r>
        <w:r>
          <w:rPr>
            <w:noProof/>
            <w:webHidden/>
          </w:rPr>
        </w:r>
        <w:r>
          <w:rPr>
            <w:noProof/>
            <w:webHidden/>
          </w:rPr>
          <w:fldChar w:fldCharType="separate"/>
        </w:r>
        <w:r w:rsidR="00813B69">
          <w:rPr>
            <w:noProof/>
            <w:webHidden/>
          </w:rPr>
          <w:t>13</w:t>
        </w:r>
        <w:r>
          <w:rPr>
            <w:noProof/>
            <w:webHidden/>
          </w:rPr>
          <w:fldChar w:fldCharType="end"/>
        </w:r>
      </w:hyperlink>
    </w:p>
    <w:p w:rsidR="00813B69" w:rsidRDefault="005302A8">
      <w:pPr>
        <w:pStyle w:val="TOC1"/>
        <w:rPr>
          <w:rFonts w:asciiTheme="minorHAnsi" w:eastAsiaTheme="minorEastAsia" w:hAnsiTheme="minorHAnsi" w:cstheme="minorBidi"/>
          <w:noProof/>
          <w:sz w:val="22"/>
          <w:szCs w:val="22"/>
        </w:rPr>
      </w:pPr>
      <w:hyperlink w:anchor="_Toc520884381" w:history="1">
        <w:r w:rsidR="00813B69" w:rsidRPr="00BD4773">
          <w:rPr>
            <w:rStyle w:val="Hyperlink"/>
            <w:noProof/>
          </w:rPr>
          <w:t>Review of Risk</w:t>
        </w:r>
        <w:r w:rsidR="00813B69">
          <w:rPr>
            <w:noProof/>
            <w:webHidden/>
          </w:rPr>
          <w:tab/>
        </w:r>
        <w:r>
          <w:rPr>
            <w:noProof/>
            <w:webHidden/>
          </w:rPr>
          <w:fldChar w:fldCharType="begin"/>
        </w:r>
        <w:r w:rsidR="00813B69">
          <w:rPr>
            <w:noProof/>
            <w:webHidden/>
          </w:rPr>
          <w:instrText xml:space="preserve"> PAGEREF _Toc520884381 \h </w:instrText>
        </w:r>
        <w:r>
          <w:rPr>
            <w:noProof/>
            <w:webHidden/>
          </w:rPr>
        </w:r>
        <w:r>
          <w:rPr>
            <w:noProof/>
            <w:webHidden/>
          </w:rPr>
          <w:fldChar w:fldCharType="separate"/>
        </w:r>
        <w:r w:rsidR="00813B69">
          <w:rPr>
            <w:noProof/>
            <w:webHidden/>
          </w:rPr>
          <w:t>14</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2" w:history="1">
        <w:r w:rsidR="00813B69" w:rsidRPr="00BD4773">
          <w:rPr>
            <w:rStyle w:val="Hyperlink"/>
            <w:noProof/>
          </w:rPr>
          <w:t>Annex A – RAID Log</w:t>
        </w:r>
        <w:r w:rsidR="00813B69">
          <w:rPr>
            <w:noProof/>
            <w:webHidden/>
          </w:rPr>
          <w:tab/>
        </w:r>
        <w:r>
          <w:rPr>
            <w:noProof/>
            <w:webHidden/>
          </w:rPr>
          <w:fldChar w:fldCharType="begin"/>
        </w:r>
        <w:r w:rsidR="00813B69">
          <w:rPr>
            <w:noProof/>
            <w:webHidden/>
          </w:rPr>
          <w:instrText xml:space="preserve"> PAGEREF _Toc520884382 \h </w:instrText>
        </w:r>
        <w:r>
          <w:rPr>
            <w:noProof/>
            <w:webHidden/>
          </w:rPr>
        </w:r>
        <w:r>
          <w:rPr>
            <w:noProof/>
            <w:webHidden/>
          </w:rPr>
          <w:fldChar w:fldCharType="separate"/>
        </w:r>
        <w:r w:rsidR="00813B69">
          <w:rPr>
            <w:noProof/>
            <w:webHidden/>
          </w:rPr>
          <w:t>15</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3" w:history="1">
        <w:bookmarkStart w:id="0" w:name="_Toc520884343"/>
        <w:bookmarkEnd w:id="0"/>
        <w:r w:rsidR="00813B69">
          <w:rPr>
            <w:noProof/>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Excel.SheetMacroEnabled.12" ShapeID="_x0000_i1025" DrawAspect="Icon" ObjectID="_1594643665" r:id="rId16"/>
          </w:object>
        </w:r>
        <w:r w:rsidR="00813B69">
          <w:rPr>
            <w:noProof/>
            <w:webHidden/>
          </w:rPr>
          <w:tab/>
        </w:r>
        <w:r>
          <w:rPr>
            <w:noProof/>
            <w:webHidden/>
          </w:rPr>
          <w:fldChar w:fldCharType="begin"/>
        </w:r>
        <w:r w:rsidR="00813B69">
          <w:rPr>
            <w:noProof/>
            <w:webHidden/>
          </w:rPr>
          <w:instrText xml:space="preserve"> PAGEREF _Toc520884383 \h </w:instrText>
        </w:r>
        <w:r>
          <w:rPr>
            <w:noProof/>
            <w:webHidden/>
          </w:rPr>
        </w:r>
        <w:r>
          <w:rPr>
            <w:noProof/>
            <w:webHidden/>
          </w:rPr>
          <w:fldChar w:fldCharType="separate"/>
        </w:r>
        <w:r w:rsidR="00813B69">
          <w:rPr>
            <w:noProof/>
            <w:webHidden/>
          </w:rPr>
          <w:t>15</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4" w:history="1">
        <w:r w:rsidR="00813B69" w:rsidRPr="00BD4773">
          <w:rPr>
            <w:rStyle w:val="Hyperlink"/>
            <w:noProof/>
          </w:rPr>
          <w:t>Annex B – Risk Severity</w:t>
        </w:r>
        <w:r w:rsidR="00813B69">
          <w:rPr>
            <w:noProof/>
            <w:webHidden/>
          </w:rPr>
          <w:tab/>
        </w:r>
        <w:r>
          <w:rPr>
            <w:noProof/>
            <w:webHidden/>
          </w:rPr>
          <w:fldChar w:fldCharType="begin"/>
        </w:r>
        <w:r w:rsidR="00813B69">
          <w:rPr>
            <w:noProof/>
            <w:webHidden/>
          </w:rPr>
          <w:instrText xml:space="preserve"> PAGEREF _Toc520884384 \h </w:instrText>
        </w:r>
        <w:r>
          <w:rPr>
            <w:noProof/>
            <w:webHidden/>
          </w:rPr>
        </w:r>
        <w:r>
          <w:rPr>
            <w:noProof/>
            <w:webHidden/>
          </w:rPr>
          <w:fldChar w:fldCharType="separate"/>
        </w:r>
        <w:r w:rsidR="00813B69">
          <w:rPr>
            <w:noProof/>
            <w:webHidden/>
          </w:rPr>
          <w:t>16</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5" w:history="1">
        <w:r w:rsidR="00813B69" w:rsidRPr="00BD4773">
          <w:rPr>
            <w:rStyle w:val="Hyperlink"/>
            <w:noProof/>
          </w:rPr>
          <w:t>Annex C - Impact &amp; Likelihood rating scales</w:t>
        </w:r>
        <w:r w:rsidR="00813B69">
          <w:rPr>
            <w:noProof/>
            <w:webHidden/>
          </w:rPr>
          <w:tab/>
        </w:r>
        <w:r>
          <w:rPr>
            <w:noProof/>
            <w:webHidden/>
          </w:rPr>
          <w:fldChar w:fldCharType="begin"/>
        </w:r>
        <w:r w:rsidR="00813B69">
          <w:rPr>
            <w:noProof/>
            <w:webHidden/>
          </w:rPr>
          <w:instrText xml:space="preserve"> PAGEREF _Toc520884385 \h </w:instrText>
        </w:r>
        <w:r>
          <w:rPr>
            <w:noProof/>
            <w:webHidden/>
          </w:rPr>
        </w:r>
        <w:r>
          <w:rPr>
            <w:noProof/>
            <w:webHidden/>
          </w:rPr>
          <w:fldChar w:fldCharType="separate"/>
        </w:r>
        <w:r w:rsidR="00813B69">
          <w:rPr>
            <w:noProof/>
            <w:webHidden/>
          </w:rPr>
          <w:t>17</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6" w:history="1">
        <w:r w:rsidR="00813B69" w:rsidRPr="00BD4773">
          <w:rPr>
            <w:rStyle w:val="Hyperlink"/>
            <w:noProof/>
          </w:rPr>
          <w:t>Annex D – Project and Programme Impact Rating Scales</w:t>
        </w:r>
        <w:r w:rsidR="00813B69">
          <w:rPr>
            <w:noProof/>
            <w:webHidden/>
          </w:rPr>
          <w:tab/>
        </w:r>
        <w:r>
          <w:rPr>
            <w:noProof/>
            <w:webHidden/>
          </w:rPr>
          <w:fldChar w:fldCharType="begin"/>
        </w:r>
        <w:r w:rsidR="00813B69">
          <w:rPr>
            <w:noProof/>
            <w:webHidden/>
          </w:rPr>
          <w:instrText xml:space="preserve"> PAGEREF _Toc520884386 \h </w:instrText>
        </w:r>
        <w:r>
          <w:rPr>
            <w:noProof/>
            <w:webHidden/>
          </w:rPr>
        </w:r>
        <w:r>
          <w:rPr>
            <w:noProof/>
            <w:webHidden/>
          </w:rPr>
          <w:fldChar w:fldCharType="separate"/>
        </w:r>
        <w:r w:rsidR="00813B69">
          <w:rPr>
            <w:noProof/>
            <w:webHidden/>
          </w:rPr>
          <w:t>18</w:t>
        </w:r>
        <w:r>
          <w:rPr>
            <w:noProof/>
            <w:webHidden/>
          </w:rPr>
          <w:fldChar w:fldCharType="end"/>
        </w:r>
      </w:hyperlink>
    </w:p>
    <w:p w:rsidR="00813B69" w:rsidRDefault="005302A8">
      <w:pPr>
        <w:pStyle w:val="TOC2"/>
        <w:rPr>
          <w:rFonts w:asciiTheme="minorHAnsi" w:eastAsiaTheme="minorEastAsia" w:hAnsiTheme="minorHAnsi" w:cstheme="minorBidi"/>
          <w:noProof/>
          <w:sz w:val="22"/>
          <w:szCs w:val="22"/>
        </w:rPr>
      </w:pPr>
      <w:hyperlink w:anchor="_Toc520884387" w:history="1">
        <w:r w:rsidR="00813B69" w:rsidRPr="00BD4773">
          <w:rPr>
            <w:rStyle w:val="Hyperlink"/>
            <w:noProof/>
          </w:rPr>
          <w:t>Annex E – Risk Response Strategies</w:t>
        </w:r>
        <w:r w:rsidR="00813B69">
          <w:rPr>
            <w:noProof/>
            <w:webHidden/>
          </w:rPr>
          <w:tab/>
        </w:r>
        <w:r>
          <w:rPr>
            <w:noProof/>
            <w:webHidden/>
          </w:rPr>
          <w:fldChar w:fldCharType="begin"/>
        </w:r>
        <w:r w:rsidR="00813B69">
          <w:rPr>
            <w:noProof/>
            <w:webHidden/>
          </w:rPr>
          <w:instrText xml:space="preserve"> PAGEREF _Toc520884387 \h </w:instrText>
        </w:r>
        <w:r>
          <w:rPr>
            <w:noProof/>
            <w:webHidden/>
          </w:rPr>
        </w:r>
        <w:r>
          <w:rPr>
            <w:noProof/>
            <w:webHidden/>
          </w:rPr>
          <w:fldChar w:fldCharType="separate"/>
        </w:r>
        <w:r w:rsidR="00813B69">
          <w:rPr>
            <w:noProof/>
            <w:webHidden/>
          </w:rPr>
          <w:t>19</w:t>
        </w:r>
        <w:r>
          <w:rPr>
            <w:noProof/>
            <w:webHidden/>
          </w:rPr>
          <w:fldChar w:fldCharType="end"/>
        </w:r>
      </w:hyperlink>
    </w:p>
    <w:p w:rsidR="00857895" w:rsidRPr="007D0A4B" w:rsidRDefault="005302A8" w:rsidP="00D3080E">
      <w:r>
        <w:fldChar w:fldCharType="end"/>
      </w:r>
    </w:p>
    <w:p w:rsidR="005542E8" w:rsidRDefault="005542E8" w:rsidP="00857895">
      <w:pPr>
        <w:pStyle w:val="BodyText"/>
      </w:pPr>
    </w:p>
    <w:p w:rsidR="00857895" w:rsidRPr="00857895" w:rsidRDefault="00857895" w:rsidP="00D66A53">
      <w:pPr>
        <w:pStyle w:val="BodyText"/>
      </w:pPr>
    </w:p>
    <w:p w:rsidR="001261A1" w:rsidRPr="001261A1" w:rsidRDefault="001261A1" w:rsidP="001261A1">
      <w:pPr>
        <w:pStyle w:val="BodyText"/>
        <w:rPr>
          <w:b/>
        </w:rPr>
      </w:pPr>
      <w:bookmarkStart w:id="1" w:name="_Toc457556532"/>
      <w:r w:rsidRPr="001261A1">
        <w:rPr>
          <w:b/>
        </w:rPr>
        <w:t>The practical Guidance contained within is intended to assist with putting risk, issues and opportunity management into practice and assist in the development of a programme risk strategy. Italic text is for reference only.</w:t>
      </w:r>
    </w:p>
    <w:p w:rsidR="001261A1" w:rsidRPr="00A02063" w:rsidRDefault="001261A1" w:rsidP="001261A1">
      <w:pPr>
        <w:pStyle w:val="Heading1"/>
      </w:pPr>
      <w:bookmarkStart w:id="2" w:name="_Toc505032451"/>
      <w:bookmarkStart w:id="3" w:name="_Toc520884371"/>
      <w:bookmarkEnd w:id="1"/>
      <w:r w:rsidRPr="00A02063">
        <w:lastRenderedPageBreak/>
        <w:t>Purpose</w:t>
      </w:r>
      <w:bookmarkEnd w:id="2"/>
      <w:bookmarkEnd w:id="3"/>
    </w:p>
    <w:p w:rsidR="001261A1" w:rsidRPr="00AC17BE" w:rsidRDefault="001261A1" w:rsidP="001261A1">
      <w:pPr>
        <w:pStyle w:val="Bodycopy"/>
      </w:pPr>
    </w:p>
    <w:p w:rsidR="001261A1" w:rsidRPr="00EF085C" w:rsidRDefault="001261A1" w:rsidP="001261A1">
      <w:pPr>
        <w:pStyle w:val="BodyText"/>
        <w:rPr>
          <w:i/>
        </w:rPr>
      </w:pPr>
      <w:r w:rsidRPr="00EF085C">
        <w:rPr>
          <w:i/>
        </w:rPr>
        <w:t>[Give a brief description of your programme/project]</w:t>
      </w:r>
    </w:p>
    <w:p w:rsidR="001261A1" w:rsidRDefault="008409B2" w:rsidP="001261A1">
      <w:pPr>
        <w:pStyle w:val="BodyText"/>
      </w:pPr>
      <w:r w:rsidRPr="009B1557">
        <w:t>Start text here.</w:t>
      </w:r>
    </w:p>
    <w:p w:rsidR="001261A1" w:rsidRDefault="001261A1" w:rsidP="001261A1">
      <w:pPr>
        <w:pStyle w:val="BodyText"/>
      </w:pPr>
      <w:r>
        <w:t xml:space="preserve">Effective risk management is critical to project success – it </w:t>
      </w:r>
      <w:r w:rsidRPr="00DA1CFB">
        <w:t>can save time, improve quality and reduce the cost of achieving an agreed outcome</w:t>
      </w:r>
      <w:r>
        <w:t>. Effective management of risk also allows for the maximising of opportunities.</w:t>
      </w:r>
    </w:p>
    <w:p w:rsidR="001261A1" w:rsidRDefault="001261A1" w:rsidP="001261A1">
      <w:pPr>
        <w:pStyle w:val="BodyText"/>
      </w:pPr>
    </w:p>
    <w:p w:rsidR="001261A1" w:rsidRDefault="001261A1" w:rsidP="001261A1">
      <w:pPr>
        <w:pStyle w:val="BodyText"/>
      </w:pPr>
      <w:r>
        <w:t xml:space="preserve">This strategy details the approach to risk management that the </w:t>
      </w:r>
      <w:r w:rsidRPr="00EF085C">
        <w:rPr>
          <w:i/>
        </w:rPr>
        <w:t xml:space="preserve">[programme name] </w:t>
      </w:r>
      <w:r>
        <w:t xml:space="preserve">will use. </w:t>
      </w:r>
    </w:p>
    <w:p w:rsidR="001261A1" w:rsidRDefault="001261A1" w:rsidP="001261A1">
      <w:pPr>
        <w:pStyle w:val="BodyText"/>
        <w:rPr>
          <w:i/>
        </w:rPr>
      </w:pPr>
      <w:r w:rsidRPr="00EF085C">
        <w:rPr>
          <w:i/>
        </w:rPr>
        <w:t>[Identify the nature and level of risk acceptable within the programme]</w:t>
      </w:r>
    </w:p>
    <w:p w:rsidR="008409B2" w:rsidRPr="001C6AA3" w:rsidRDefault="008409B2" w:rsidP="008409B2">
      <w:pPr>
        <w:pStyle w:val="BodyText"/>
      </w:pPr>
      <w:r w:rsidRPr="009B1557">
        <w:t>Start text here.</w:t>
      </w:r>
    </w:p>
    <w:p w:rsidR="008409B2" w:rsidRPr="00EF085C" w:rsidRDefault="008409B2" w:rsidP="001261A1">
      <w:pPr>
        <w:pStyle w:val="BodyText"/>
        <w:rPr>
          <w:i/>
        </w:rPr>
      </w:pPr>
    </w:p>
    <w:p w:rsidR="001261A1" w:rsidRDefault="001261A1" w:rsidP="00503F03">
      <w:pPr>
        <w:pStyle w:val="Heading1"/>
        <w:spacing w:after="480"/>
      </w:pPr>
      <w:bookmarkStart w:id="4" w:name="_Toc505032452"/>
      <w:bookmarkStart w:id="5" w:name="_Toc520884372"/>
      <w:r w:rsidRPr="005C7B4A">
        <w:lastRenderedPageBreak/>
        <w:t>Glossary</w:t>
      </w:r>
      <w:bookmarkEnd w:id="4"/>
      <w:bookmarkEnd w:id="5"/>
    </w:p>
    <w:p w:rsidR="001261A1" w:rsidRDefault="001261A1" w:rsidP="001261A1">
      <w:pPr>
        <w:pStyle w:val="Bodycopy"/>
        <w:rPr>
          <w:b/>
          <w:sz w:val="32"/>
          <w:szCs w:val="32"/>
        </w:rPr>
      </w:pPr>
    </w:p>
    <w:tbl>
      <w:tblPr>
        <w:tblStyle w:val="HOtable"/>
        <w:tblW w:w="10916" w:type="dxa"/>
        <w:tblInd w:w="-369" w:type="dxa"/>
        <w:tblLook w:val="04A0"/>
      </w:tblPr>
      <w:tblGrid>
        <w:gridCol w:w="2231"/>
        <w:gridCol w:w="8685"/>
      </w:tblGrid>
      <w:tr w:rsidR="001261A1" w:rsidRPr="00B00394" w:rsidTr="00503F03">
        <w:trPr>
          <w:cnfStyle w:val="100000000000"/>
        </w:trPr>
        <w:tc>
          <w:tcPr>
            <w:tcW w:w="2231" w:type="dxa"/>
          </w:tcPr>
          <w:p w:rsidR="001261A1" w:rsidRPr="00987AFC" w:rsidRDefault="001261A1" w:rsidP="00B400FF">
            <w:pPr>
              <w:pStyle w:val="Bodycopy"/>
              <w:rPr>
                <w:b w:val="0"/>
                <w:color w:val="000000"/>
              </w:rPr>
            </w:pPr>
            <w:r w:rsidRPr="00987AFC">
              <w:rPr>
                <w:color w:val="000000"/>
              </w:rPr>
              <w:t>Term</w:t>
            </w:r>
          </w:p>
        </w:tc>
        <w:tc>
          <w:tcPr>
            <w:tcW w:w="8685" w:type="dxa"/>
          </w:tcPr>
          <w:p w:rsidR="001261A1" w:rsidRPr="00987AFC" w:rsidRDefault="001261A1" w:rsidP="00B400FF">
            <w:pPr>
              <w:pStyle w:val="Bodycopy"/>
              <w:rPr>
                <w:b w:val="0"/>
                <w:color w:val="000000"/>
              </w:rPr>
            </w:pPr>
            <w:r w:rsidRPr="00987AFC">
              <w:rPr>
                <w:color w:val="000000"/>
              </w:rPr>
              <w:t>Definition</w:t>
            </w:r>
          </w:p>
        </w:tc>
      </w:tr>
      <w:tr w:rsidR="001261A1" w:rsidRPr="00B00394" w:rsidTr="00503F03">
        <w:tc>
          <w:tcPr>
            <w:tcW w:w="2231" w:type="dxa"/>
          </w:tcPr>
          <w:p w:rsidR="001261A1" w:rsidRPr="00910DD5" w:rsidRDefault="001261A1" w:rsidP="001261A1">
            <w:pPr>
              <w:pStyle w:val="BodyText"/>
            </w:pPr>
            <w:r w:rsidRPr="00910DD5">
              <w:t>Impact</w:t>
            </w:r>
          </w:p>
        </w:tc>
        <w:tc>
          <w:tcPr>
            <w:tcW w:w="8685" w:type="dxa"/>
          </w:tcPr>
          <w:p w:rsidR="001261A1" w:rsidRPr="00910DD5" w:rsidRDefault="001261A1" w:rsidP="001261A1">
            <w:pPr>
              <w:pStyle w:val="BodyText"/>
              <w:rPr>
                <w:b/>
              </w:rPr>
            </w:pPr>
            <w:r w:rsidRPr="00910DD5">
              <w:t>The effect or influence that a risk or issue may exert on a Programme’s goals. For risks this is expressed in terms of schedule and cost, expressed quantitatively, or qualitatively as very high, high, medium, low or very low</w:t>
            </w:r>
          </w:p>
        </w:tc>
      </w:tr>
      <w:tr w:rsidR="001261A1" w:rsidRPr="00B00394" w:rsidTr="00503F03">
        <w:tc>
          <w:tcPr>
            <w:tcW w:w="2231" w:type="dxa"/>
          </w:tcPr>
          <w:p w:rsidR="001261A1" w:rsidRPr="00910DD5" w:rsidRDefault="001261A1" w:rsidP="001261A1">
            <w:pPr>
              <w:pStyle w:val="BodyText"/>
            </w:pPr>
            <w:r w:rsidRPr="00910DD5">
              <w:t>Likelihood</w:t>
            </w:r>
          </w:p>
        </w:tc>
        <w:tc>
          <w:tcPr>
            <w:tcW w:w="8685" w:type="dxa"/>
          </w:tcPr>
          <w:p w:rsidR="001261A1" w:rsidRPr="00910DD5" w:rsidRDefault="001261A1" w:rsidP="001261A1">
            <w:pPr>
              <w:pStyle w:val="BodyText"/>
            </w:pPr>
            <w:r w:rsidRPr="00910DD5">
              <w:t>Something currently happening that is having a negative impact on the Programme cost, timescale or achievement of deliverables and requires resolution for the Programme to proceed successfully. Issues can arise from a risk that has occurred or any other event that were not predicted.</w:t>
            </w:r>
          </w:p>
        </w:tc>
      </w:tr>
      <w:tr w:rsidR="001261A1" w:rsidRPr="00B00394" w:rsidTr="00503F03">
        <w:tc>
          <w:tcPr>
            <w:tcW w:w="2231" w:type="dxa"/>
          </w:tcPr>
          <w:p w:rsidR="001261A1" w:rsidRPr="00910DD5" w:rsidRDefault="001261A1" w:rsidP="001261A1">
            <w:pPr>
              <w:pStyle w:val="BodyText"/>
            </w:pPr>
            <w:r w:rsidRPr="00910DD5">
              <w:t>Opportunity</w:t>
            </w:r>
          </w:p>
        </w:tc>
        <w:tc>
          <w:tcPr>
            <w:tcW w:w="8685" w:type="dxa"/>
          </w:tcPr>
          <w:p w:rsidR="001261A1" w:rsidRPr="00910DD5" w:rsidRDefault="001261A1" w:rsidP="001261A1">
            <w:pPr>
              <w:pStyle w:val="BodyText"/>
              <w:rPr>
                <w:rFonts w:cs="Arial"/>
              </w:rPr>
            </w:pPr>
            <w:r w:rsidRPr="00910DD5">
              <w:rPr>
                <w:rFonts w:cs="Arial"/>
              </w:rPr>
              <w:t>An uncertain event or set of circumstances that, should it occur, will have a positive effect on the achievement of a Programme’s objectives</w:t>
            </w:r>
          </w:p>
        </w:tc>
      </w:tr>
      <w:tr w:rsidR="001261A1" w:rsidRPr="00B00394" w:rsidTr="00503F03">
        <w:tc>
          <w:tcPr>
            <w:tcW w:w="2231" w:type="dxa"/>
          </w:tcPr>
          <w:p w:rsidR="001261A1" w:rsidRPr="00910DD5" w:rsidRDefault="001261A1" w:rsidP="001261A1">
            <w:pPr>
              <w:pStyle w:val="BodyText"/>
            </w:pPr>
            <w:r w:rsidRPr="00910DD5">
              <w:t>Probability Impact Grid</w:t>
            </w:r>
          </w:p>
        </w:tc>
        <w:tc>
          <w:tcPr>
            <w:tcW w:w="8685" w:type="dxa"/>
          </w:tcPr>
          <w:p w:rsidR="001261A1" w:rsidRPr="00910DD5" w:rsidRDefault="001261A1" w:rsidP="001261A1">
            <w:pPr>
              <w:pStyle w:val="BodyText"/>
              <w:rPr>
                <w:rFonts w:cs="Arial"/>
              </w:rPr>
            </w:pPr>
            <w:r w:rsidRPr="00910DD5">
              <w:rPr>
                <w:rFonts w:cs="Arial"/>
              </w:rPr>
              <w:t>Risk scoring table combining the assessments of probability and impact to ascertain a comparative risk score</w:t>
            </w:r>
          </w:p>
        </w:tc>
      </w:tr>
      <w:tr w:rsidR="001261A1" w:rsidRPr="00B00394" w:rsidTr="00503F03">
        <w:trPr>
          <w:trHeight w:val="728"/>
        </w:trPr>
        <w:tc>
          <w:tcPr>
            <w:tcW w:w="2231" w:type="dxa"/>
          </w:tcPr>
          <w:p w:rsidR="001261A1" w:rsidRPr="00910DD5" w:rsidRDefault="001261A1" w:rsidP="001261A1">
            <w:pPr>
              <w:pStyle w:val="BodyText"/>
            </w:pPr>
            <w:r w:rsidRPr="00910DD5">
              <w:t>Programme Risk / Opportunity</w:t>
            </w:r>
          </w:p>
        </w:tc>
        <w:tc>
          <w:tcPr>
            <w:tcW w:w="8685" w:type="dxa"/>
          </w:tcPr>
          <w:p w:rsidR="001261A1" w:rsidRPr="00910DD5" w:rsidRDefault="001261A1" w:rsidP="001261A1">
            <w:pPr>
              <w:pStyle w:val="BodyText"/>
              <w:rPr>
                <w:rFonts w:cs="Arial"/>
              </w:rPr>
            </w:pPr>
            <w:r w:rsidRPr="00910DD5">
              <w:rPr>
                <w:rFonts w:cs="Arial"/>
              </w:rPr>
              <w:t>Any risk or opportunity that is managed at the level of the Programme</w:t>
            </w:r>
          </w:p>
        </w:tc>
      </w:tr>
      <w:tr w:rsidR="001261A1" w:rsidRPr="00B00394" w:rsidTr="00503F03">
        <w:tc>
          <w:tcPr>
            <w:tcW w:w="2231" w:type="dxa"/>
          </w:tcPr>
          <w:p w:rsidR="001261A1" w:rsidRPr="00910DD5" w:rsidRDefault="001261A1" w:rsidP="001261A1">
            <w:pPr>
              <w:pStyle w:val="BodyText"/>
            </w:pPr>
            <w:r w:rsidRPr="00910DD5">
              <w:t>Risk</w:t>
            </w:r>
          </w:p>
        </w:tc>
        <w:tc>
          <w:tcPr>
            <w:tcW w:w="8685" w:type="dxa"/>
          </w:tcPr>
          <w:p w:rsidR="001261A1" w:rsidRPr="00910DD5" w:rsidRDefault="001261A1" w:rsidP="001261A1">
            <w:pPr>
              <w:pStyle w:val="BodyText"/>
              <w:rPr>
                <w:rFonts w:cs="Arial"/>
              </w:rPr>
            </w:pPr>
            <w:r w:rsidRPr="00910DD5">
              <w:rPr>
                <w:rFonts w:cs="Arial"/>
              </w:rPr>
              <w:t xml:space="preserve">An uncertain event or set of circumstances that, should it occur, will have an </w:t>
            </w:r>
            <w:r w:rsidRPr="00910DD5">
              <w:rPr>
                <w:rFonts w:cs="Arial"/>
                <w:u w:val="single"/>
              </w:rPr>
              <w:t>adverse</w:t>
            </w:r>
            <w:r w:rsidRPr="00910DD5">
              <w:rPr>
                <w:rFonts w:cs="Arial"/>
              </w:rPr>
              <w:t xml:space="preserve"> effect on the achievement of the Programme’s objectives</w:t>
            </w:r>
          </w:p>
        </w:tc>
      </w:tr>
      <w:tr w:rsidR="001261A1" w:rsidRPr="00B00394" w:rsidTr="00503F03">
        <w:trPr>
          <w:trHeight w:val="1479"/>
        </w:trPr>
        <w:tc>
          <w:tcPr>
            <w:tcW w:w="2231" w:type="dxa"/>
          </w:tcPr>
          <w:p w:rsidR="001261A1" w:rsidRPr="00910DD5" w:rsidRDefault="001261A1" w:rsidP="001261A1">
            <w:pPr>
              <w:pStyle w:val="BodyText"/>
            </w:pPr>
            <w:r w:rsidRPr="00910DD5">
              <w:t>Risk Analysis</w:t>
            </w:r>
          </w:p>
        </w:tc>
        <w:tc>
          <w:tcPr>
            <w:tcW w:w="8685" w:type="dxa"/>
          </w:tcPr>
          <w:p w:rsidR="001261A1" w:rsidRPr="00910DD5" w:rsidRDefault="001261A1" w:rsidP="001261A1">
            <w:pPr>
              <w:pStyle w:val="BodyText"/>
              <w:rPr>
                <w:rFonts w:cs="Arial"/>
              </w:rPr>
            </w:pPr>
            <w:r w:rsidRPr="00910DD5">
              <w:rPr>
                <w:rFonts w:cs="Arial"/>
              </w:rPr>
              <w:t>Structured examination of the constitution of risks affecting a Programme, to gain an understanding of their individual significance and their individual and combined influences upon the Programme’s objectives.  Risk analysis covers both cost and schedule exposure</w:t>
            </w:r>
          </w:p>
        </w:tc>
      </w:tr>
      <w:tr w:rsidR="001261A1" w:rsidRPr="00B00394" w:rsidTr="00503F03">
        <w:tc>
          <w:tcPr>
            <w:tcW w:w="2231" w:type="dxa"/>
          </w:tcPr>
          <w:p w:rsidR="001261A1" w:rsidRPr="00910DD5" w:rsidRDefault="001261A1" w:rsidP="001261A1">
            <w:pPr>
              <w:pStyle w:val="BodyText"/>
            </w:pPr>
            <w:r w:rsidRPr="00910DD5">
              <w:t>Risk Exposure</w:t>
            </w:r>
          </w:p>
        </w:tc>
        <w:tc>
          <w:tcPr>
            <w:tcW w:w="8685" w:type="dxa"/>
          </w:tcPr>
          <w:p w:rsidR="001261A1" w:rsidRPr="00910DD5" w:rsidRDefault="001261A1" w:rsidP="001261A1">
            <w:pPr>
              <w:pStyle w:val="BodyText"/>
              <w:rPr>
                <w:rFonts w:cs="Arial"/>
              </w:rPr>
            </w:pPr>
            <w:r w:rsidRPr="00910DD5">
              <w:rPr>
                <w:rFonts w:cs="Arial"/>
              </w:rPr>
              <w:t>Is the statistically derived aggregate financial cost to the Programme, at any given time, of all identified risks.  This exposure is determined using probabilistic method (Monte Carlo Simulation)</w:t>
            </w:r>
          </w:p>
        </w:tc>
      </w:tr>
      <w:tr w:rsidR="00B400FF" w:rsidRPr="00B00394" w:rsidTr="00503F03">
        <w:tc>
          <w:tcPr>
            <w:tcW w:w="2231" w:type="dxa"/>
          </w:tcPr>
          <w:p w:rsidR="00B400FF" w:rsidRPr="00B00394" w:rsidRDefault="00B400FF" w:rsidP="00B400FF">
            <w:pPr>
              <w:pStyle w:val="Tableheading"/>
              <w:rPr>
                <w:sz w:val="24"/>
                <w:szCs w:val="24"/>
              </w:rPr>
            </w:pPr>
            <w:r>
              <w:rPr>
                <w:sz w:val="24"/>
                <w:szCs w:val="24"/>
              </w:rPr>
              <w:t>RAID</w:t>
            </w:r>
            <w:r w:rsidRPr="00B00394">
              <w:rPr>
                <w:sz w:val="24"/>
                <w:szCs w:val="24"/>
              </w:rPr>
              <w:t xml:space="preserve"> </w:t>
            </w:r>
            <w:r>
              <w:rPr>
                <w:sz w:val="24"/>
                <w:szCs w:val="24"/>
              </w:rPr>
              <w:t>Log</w:t>
            </w:r>
          </w:p>
        </w:tc>
        <w:tc>
          <w:tcPr>
            <w:tcW w:w="8685" w:type="dxa"/>
          </w:tcPr>
          <w:p w:rsidR="00B400FF" w:rsidRPr="00EF085C" w:rsidRDefault="00B400FF" w:rsidP="00B400FF">
            <w:pPr>
              <w:pStyle w:val="ListParagraph"/>
              <w:ind w:left="0"/>
              <w:rPr>
                <w:rFonts w:ascii="Arial" w:hAnsi="Arial" w:cs="Arial"/>
                <w:sz w:val="24"/>
                <w:szCs w:val="24"/>
              </w:rPr>
            </w:pPr>
            <w:r w:rsidRPr="00EF085C">
              <w:rPr>
                <w:rFonts w:ascii="Arial" w:hAnsi="Arial" w:cs="Arial"/>
                <w:sz w:val="24"/>
                <w:szCs w:val="24"/>
              </w:rPr>
              <w:t>A</w:t>
            </w:r>
            <w:r w:rsidRPr="00EF085C">
              <w:rPr>
                <w:rFonts w:ascii="Arial" w:hAnsi="Arial" w:cs="Arial"/>
                <w:iCs/>
                <w:sz w:val="24"/>
                <w:szCs w:val="24"/>
                <w:lang w:val="en-US"/>
              </w:rPr>
              <w:t xml:space="preserve"> RAID log is a </w:t>
            </w:r>
            <w:proofErr w:type="spellStart"/>
            <w:r w:rsidRPr="00EF085C">
              <w:rPr>
                <w:rFonts w:ascii="Arial" w:hAnsi="Arial" w:cs="Arial"/>
                <w:iCs/>
                <w:sz w:val="24"/>
                <w:szCs w:val="24"/>
                <w:lang w:val="en-US"/>
              </w:rPr>
              <w:t>programme</w:t>
            </w:r>
            <w:proofErr w:type="spellEnd"/>
            <w:r w:rsidRPr="00EF085C">
              <w:rPr>
                <w:rFonts w:ascii="Arial" w:hAnsi="Arial" w:cs="Arial"/>
                <w:iCs/>
                <w:sz w:val="24"/>
                <w:szCs w:val="24"/>
                <w:lang w:val="en-US"/>
              </w:rPr>
              <w:t xml:space="preserve"> management tool to track </w:t>
            </w:r>
            <w:r w:rsidRPr="00EF085C">
              <w:rPr>
                <w:rFonts w:ascii="Arial" w:hAnsi="Arial" w:cs="Arial"/>
                <w:b/>
                <w:bCs/>
                <w:iCs/>
                <w:sz w:val="24"/>
                <w:szCs w:val="24"/>
                <w:lang w:val="en-US"/>
              </w:rPr>
              <w:t>risks</w:t>
            </w:r>
            <w:r w:rsidRPr="00EF085C">
              <w:rPr>
                <w:rFonts w:ascii="Arial" w:hAnsi="Arial" w:cs="Arial"/>
                <w:iCs/>
                <w:sz w:val="24"/>
                <w:szCs w:val="24"/>
                <w:lang w:val="en-US"/>
              </w:rPr>
              <w:t xml:space="preserve">, </w:t>
            </w:r>
            <w:r w:rsidRPr="00EF085C">
              <w:rPr>
                <w:rFonts w:ascii="Arial" w:hAnsi="Arial" w:cs="Arial"/>
                <w:b/>
                <w:bCs/>
                <w:iCs/>
                <w:sz w:val="24"/>
                <w:szCs w:val="24"/>
                <w:lang w:val="en-US"/>
              </w:rPr>
              <w:t>actions</w:t>
            </w:r>
            <w:r w:rsidRPr="00EF085C">
              <w:rPr>
                <w:rFonts w:ascii="Arial" w:hAnsi="Arial" w:cs="Arial"/>
                <w:iCs/>
                <w:sz w:val="24"/>
                <w:szCs w:val="24"/>
                <w:lang w:val="en-US"/>
              </w:rPr>
              <w:t xml:space="preserve">, </w:t>
            </w:r>
            <w:r w:rsidRPr="00EF085C">
              <w:rPr>
                <w:rFonts w:ascii="Arial" w:hAnsi="Arial" w:cs="Arial"/>
                <w:b/>
                <w:bCs/>
                <w:iCs/>
                <w:sz w:val="24"/>
                <w:szCs w:val="24"/>
                <w:lang w:val="en-US"/>
              </w:rPr>
              <w:t>issues</w:t>
            </w:r>
            <w:r w:rsidRPr="00EF085C">
              <w:rPr>
                <w:rFonts w:ascii="Arial" w:hAnsi="Arial" w:cs="Arial"/>
                <w:iCs/>
                <w:sz w:val="24"/>
                <w:szCs w:val="24"/>
                <w:lang w:val="en-US"/>
              </w:rPr>
              <w:t xml:space="preserve">, </w:t>
            </w:r>
            <w:r w:rsidRPr="00EF085C">
              <w:rPr>
                <w:rFonts w:ascii="Arial" w:hAnsi="Arial" w:cs="Arial"/>
                <w:b/>
                <w:bCs/>
                <w:iCs/>
                <w:sz w:val="24"/>
                <w:szCs w:val="24"/>
                <w:lang w:val="en-US"/>
              </w:rPr>
              <w:t>decisions and Assumptions</w:t>
            </w:r>
            <w:r w:rsidRPr="00EF085C">
              <w:rPr>
                <w:rFonts w:ascii="Arial" w:hAnsi="Arial" w:cs="Arial"/>
                <w:iCs/>
                <w:sz w:val="24"/>
                <w:szCs w:val="24"/>
                <w:lang w:val="en-US"/>
              </w:rPr>
              <w:t>. It is a document that is constantly maintained throughout the project/program.</w:t>
            </w:r>
          </w:p>
          <w:p w:rsidR="00B400FF" w:rsidRPr="00EF085C" w:rsidRDefault="00B400FF" w:rsidP="00B400FF">
            <w:pPr>
              <w:pStyle w:val="ListParagraph"/>
              <w:ind w:left="0"/>
              <w:rPr>
                <w:rFonts w:ascii="Arial" w:hAnsi="Arial" w:cs="Arial"/>
                <w:iCs/>
                <w:sz w:val="24"/>
                <w:szCs w:val="24"/>
                <w:lang w:val="en-US"/>
              </w:rPr>
            </w:pPr>
            <w:r w:rsidRPr="00EF085C">
              <w:rPr>
                <w:rFonts w:ascii="Arial" w:hAnsi="Arial" w:cs="Arial"/>
                <w:iCs/>
                <w:sz w:val="24"/>
                <w:szCs w:val="24"/>
                <w:lang w:val="en-US"/>
              </w:rPr>
              <w:t xml:space="preserve">The risk log records information such as cause, effect, impact, likelihood, mitigations, owner, for things that could go wrong but have not yet occurred.  </w:t>
            </w:r>
          </w:p>
          <w:p w:rsidR="00B400FF" w:rsidRPr="00EF085C" w:rsidRDefault="00B400FF" w:rsidP="00B400FF">
            <w:pPr>
              <w:pStyle w:val="ListParagraph"/>
              <w:ind w:left="0"/>
              <w:rPr>
                <w:rFonts w:ascii="Arial" w:hAnsi="Arial" w:cs="Arial"/>
                <w:iCs/>
                <w:sz w:val="24"/>
                <w:szCs w:val="24"/>
                <w:lang w:val="en-US"/>
              </w:rPr>
            </w:pPr>
            <w:r w:rsidRPr="00EF085C">
              <w:rPr>
                <w:rFonts w:ascii="Arial" w:hAnsi="Arial" w:cs="Arial"/>
                <w:iCs/>
                <w:sz w:val="24"/>
                <w:szCs w:val="24"/>
                <w:lang w:val="en-US"/>
              </w:rPr>
              <w:t xml:space="preserve">The actions log records information such as owner, due date, action progress, for things that need to be done.  </w:t>
            </w:r>
          </w:p>
          <w:p w:rsidR="00B400FF" w:rsidRPr="00EF085C" w:rsidRDefault="00B400FF" w:rsidP="00B400FF">
            <w:pPr>
              <w:pStyle w:val="ListParagraph"/>
              <w:ind w:left="0"/>
              <w:rPr>
                <w:rFonts w:ascii="Arial" w:hAnsi="Arial" w:cs="Arial"/>
                <w:iCs/>
                <w:sz w:val="24"/>
                <w:szCs w:val="24"/>
                <w:lang w:val="en-US"/>
              </w:rPr>
            </w:pPr>
            <w:r w:rsidRPr="00EF085C">
              <w:rPr>
                <w:rFonts w:ascii="Arial" w:hAnsi="Arial" w:cs="Arial"/>
                <w:iCs/>
                <w:sz w:val="24"/>
                <w:szCs w:val="24"/>
                <w:lang w:val="en-US"/>
              </w:rPr>
              <w:t xml:space="preserve">The issues log records information such as issue description, owner, mitigation, for known problems that have occurred (if a risk triggers, it becomes an issue as well).  </w:t>
            </w:r>
          </w:p>
          <w:p w:rsidR="00B400FF" w:rsidRPr="00EF085C" w:rsidRDefault="00B400FF" w:rsidP="00B400FF">
            <w:pPr>
              <w:pStyle w:val="ListParagraph"/>
              <w:ind w:left="0"/>
              <w:rPr>
                <w:rFonts w:ascii="Arial" w:hAnsi="Arial" w:cs="Arial"/>
                <w:sz w:val="24"/>
                <w:szCs w:val="24"/>
              </w:rPr>
            </w:pPr>
            <w:r w:rsidRPr="00EF085C">
              <w:rPr>
                <w:rFonts w:ascii="Arial" w:hAnsi="Arial" w:cs="Arial"/>
                <w:iCs/>
                <w:sz w:val="24"/>
                <w:szCs w:val="24"/>
                <w:lang w:val="en-US"/>
              </w:rPr>
              <w:t>The decision long records information such as decision description, date, owner for key decisions to be made in the project/program.</w:t>
            </w:r>
          </w:p>
          <w:p w:rsidR="00B400FF" w:rsidRPr="00B00394" w:rsidRDefault="00B400FF" w:rsidP="00B400FF">
            <w:pPr>
              <w:pStyle w:val="ListParagraph"/>
              <w:ind w:left="0"/>
              <w:rPr>
                <w:szCs w:val="24"/>
              </w:rPr>
            </w:pPr>
          </w:p>
        </w:tc>
      </w:tr>
    </w:tbl>
    <w:p w:rsidR="001261A1" w:rsidRPr="00A02063" w:rsidRDefault="001261A1" w:rsidP="00503F03">
      <w:pPr>
        <w:pStyle w:val="Heading1"/>
        <w:spacing w:after="360"/>
      </w:pPr>
      <w:bookmarkStart w:id="6" w:name="_Toc505032453"/>
      <w:bookmarkStart w:id="7" w:name="_Toc520884373"/>
      <w:r w:rsidRPr="00A02063">
        <w:lastRenderedPageBreak/>
        <w:t>Roles and responsibilities</w:t>
      </w:r>
      <w:bookmarkEnd w:id="6"/>
      <w:bookmarkEnd w:id="7"/>
    </w:p>
    <w:p w:rsidR="001261A1" w:rsidRPr="006B2770" w:rsidRDefault="001261A1" w:rsidP="001261A1">
      <w:pPr>
        <w:pStyle w:val="Bodycopy"/>
      </w:pPr>
    </w:p>
    <w:p w:rsidR="001261A1" w:rsidRPr="001261A1" w:rsidRDefault="001261A1" w:rsidP="001261A1">
      <w:pPr>
        <w:pStyle w:val="BodyText"/>
      </w:pPr>
      <w:r w:rsidRPr="001261A1">
        <w:t xml:space="preserve">Roles and responsibilities for managing risk within [programme/project name] are detailed below. The table shows the roles and a description of their responsibilities in the management of risk. </w:t>
      </w:r>
    </w:p>
    <w:p w:rsidR="001261A1" w:rsidRPr="006B2770" w:rsidRDefault="001261A1" w:rsidP="001261A1">
      <w:pPr>
        <w:pStyle w:val="Bodycopy"/>
      </w:pPr>
    </w:p>
    <w:tbl>
      <w:tblPr>
        <w:tblStyle w:val="HOtable"/>
        <w:tblW w:w="10916" w:type="dxa"/>
        <w:tblInd w:w="-369" w:type="dxa"/>
        <w:tblLook w:val="04A0"/>
      </w:tblPr>
      <w:tblGrid>
        <w:gridCol w:w="2913"/>
        <w:gridCol w:w="8003"/>
      </w:tblGrid>
      <w:tr w:rsidR="001261A1" w:rsidTr="00503F03">
        <w:trPr>
          <w:cnfStyle w:val="100000000000"/>
        </w:trPr>
        <w:tc>
          <w:tcPr>
            <w:tcW w:w="2913" w:type="dxa"/>
          </w:tcPr>
          <w:p w:rsidR="001261A1" w:rsidRPr="00C11A48" w:rsidRDefault="001261A1" w:rsidP="00B400FF">
            <w:pPr>
              <w:pStyle w:val="Bodycopy"/>
              <w:rPr>
                <w:b w:val="0"/>
                <w:color w:val="000000"/>
              </w:rPr>
            </w:pPr>
            <w:r>
              <w:rPr>
                <w:color w:val="000000"/>
              </w:rPr>
              <w:t>Role</w:t>
            </w:r>
          </w:p>
        </w:tc>
        <w:tc>
          <w:tcPr>
            <w:tcW w:w="8003" w:type="dxa"/>
          </w:tcPr>
          <w:p w:rsidR="001261A1" w:rsidRPr="00C11A48" w:rsidRDefault="001261A1" w:rsidP="00B400FF">
            <w:pPr>
              <w:pStyle w:val="Bodycopy"/>
              <w:rPr>
                <w:b w:val="0"/>
                <w:color w:val="000000"/>
              </w:rPr>
            </w:pPr>
            <w:r>
              <w:rPr>
                <w:color w:val="000000"/>
              </w:rPr>
              <w:t>Description</w:t>
            </w:r>
          </w:p>
        </w:tc>
      </w:tr>
      <w:tr w:rsidR="001261A1" w:rsidTr="00503F03">
        <w:trPr>
          <w:trHeight w:val="2662"/>
        </w:trPr>
        <w:tc>
          <w:tcPr>
            <w:tcW w:w="2913" w:type="dxa"/>
          </w:tcPr>
          <w:p w:rsidR="001261A1" w:rsidRDefault="001261A1" w:rsidP="001261A1">
            <w:pPr>
              <w:pStyle w:val="BodyText"/>
            </w:pPr>
            <w:r>
              <w:t>Senior responsible owner</w:t>
            </w:r>
          </w:p>
        </w:tc>
        <w:tc>
          <w:tcPr>
            <w:tcW w:w="8003" w:type="dxa"/>
          </w:tcPr>
          <w:p w:rsidR="001261A1" w:rsidRPr="002B1C89" w:rsidRDefault="001261A1" w:rsidP="001261A1">
            <w:pPr>
              <w:pStyle w:val="BodyText"/>
              <w:rPr>
                <w:rFonts w:cs="Arial"/>
              </w:rPr>
            </w:pPr>
            <w:r w:rsidRPr="002B1C89">
              <w:rPr>
                <w:rFonts w:cs="Arial"/>
              </w:rPr>
              <w:t xml:space="preserve">The single individual with overall responsibility for ensuring that the Programme/Project meets its objectives and delivers the stated benefits. The </w:t>
            </w:r>
            <w:proofErr w:type="spellStart"/>
            <w:r w:rsidRPr="002B1C89">
              <w:rPr>
                <w:rFonts w:cs="Arial"/>
              </w:rPr>
              <w:t>SRO</w:t>
            </w:r>
            <w:proofErr w:type="spellEnd"/>
            <w:r w:rsidRPr="002B1C89">
              <w:rPr>
                <w:rFonts w:cs="Arial"/>
              </w:rPr>
              <w:t xml:space="preserve"> is therefore accountable for ensuring that the exposure of the programme/project to risk is manageable and that .all Programme and project risks are identified and being managed effectively.  The </w:t>
            </w:r>
            <w:proofErr w:type="spellStart"/>
            <w:r w:rsidRPr="002B1C89">
              <w:rPr>
                <w:rFonts w:cs="Arial"/>
              </w:rPr>
              <w:t>SRO</w:t>
            </w:r>
            <w:proofErr w:type="spellEnd"/>
            <w:r w:rsidRPr="002B1C89">
              <w:rPr>
                <w:rFonts w:cs="Arial"/>
              </w:rPr>
              <w:t xml:space="preserve"> has ownership and accountability of the overall Risks Management Policy. This includes ensuring that a policy on risk is established and signing off the Risk Management Policy, in so doing accepting the willingness to take risks to the identified tolerance levels.</w:t>
            </w:r>
          </w:p>
        </w:tc>
      </w:tr>
      <w:tr w:rsidR="001261A1" w:rsidTr="00503F03">
        <w:trPr>
          <w:trHeight w:val="1006"/>
        </w:trPr>
        <w:tc>
          <w:tcPr>
            <w:tcW w:w="2913" w:type="dxa"/>
          </w:tcPr>
          <w:p w:rsidR="001261A1" w:rsidRDefault="001261A1" w:rsidP="001261A1">
            <w:pPr>
              <w:pStyle w:val="BodyText"/>
            </w:pPr>
            <w:r>
              <w:t>Programme director</w:t>
            </w:r>
          </w:p>
        </w:tc>
        <w:tc>
          <w:tcPr>
            <w:tcW w:w="8003" w:type="dxa"/>
          </w:tcPr>
          <w:p w:rsidR="001261A1" w:rsidRPr="002B1C89" w:rsidRDefault="001261A1" w:rsidP="001261A1">
            <w:pPr>
              <w:pStyle w:val="BodyText"/>
              <w:rPr>
                <w:rFonts w:cs="Arial"/>
              </w:rPr>
            </w:pPr>
            <w:r w:rsidRPr="002B1C89">
              <w:rPr>
                <w:rFonts w:cs="Arial"/>
              </w:rPr>
              <w:t xml:space="preserve">Accountable to the </w:t>
            </w:r>
            <w:proofErr w:type="spellStart"/>
            <w:r w:rsidRPr="002B1C89">
              <w:rPr>
                <w:rFonts w:cs="Arial"/>
              </w:rPr>
              <w:t>SRO</w:t>
            </w:r>
            <w:proofErr w:type="spellEnd"/>
            <w:r w:rsidRPr="002B1C89">
              <w:rPr>
                <w:rFonts w:cs="Arial"/>
              </w:rPr>
              <w:t xml:space="preserve"> for the delivery aspects of the programme and management of senior stakeholders.  Provides leadership, direction and authority within and across the Project.</w:t>
            </w:r>
          </w:p>
        </w:tc>
      </w:tr>
      <w:tr w:rsidR="001261A1" w:rsidTr="00503F03">
        <w:tc>
          <w:tcPr>
            <w:tcW w:w="2913" w:type="dxa"/>
          </w:tcPr>
          <w:p w:rsidR="001261A1" w:rsidRDefault="001261A1" w:rsidP="001261A1">
            <w:pPr>
              <w:pStyle w:val="BodyText"/>
            </w:pPr>
            <w:r>
              <w:t>Project manager</w:t>
            </w:r>
          </w:p>
        </w:tc>
        <w:tc>
          <w:tcPr>
            <w:tcW w:w="8003" w:type="dxa"/>
          </w:tcPr>
          <w:p w:rsidR="001261A1" w:rsidRPr="002B1C89" w:rsidRDefault="001261A1" w:rsidP="001261A1">
            <w:pPr>
              <w:pStyle w:val="BodyText"/>
              <w:rPr>
                <w:rFonts w:cs="Arial"/>
              </w:rPr>
            </w:pPr>
            <w:r w:rsidRPr="002B1C89">
              <w:rPr>
                <w:rFonts w:cs="Arial"/>
              </w:rPr>
              <w:t>The project manager of an individual project is responsible for managing risk within the defined scope of that project. This includes ensuring that team members follow the risks management processes, that risk management is integral to the way the project operates and that all reporting is clear, honest, open and complete. Project managers are responsible for determining which project risks should be escalated.</w:t>
            </w:r>
          </w:p>
        </w:tc>
      </w:tr>
      <w:tr w:rsidR="001261A1" w:rsidTr="00503F03">
        <w:tc>
          <w:tcPr>
            <w:tcW w:w="2913" w:type="dxa"/>
          </w:tcPr>
          <w:p w:rsidR="001261A1" w:rsidRDefault="001261A1" w:rsidP="001261A1">
            <w:pPr>
              <w:pStyle w:val="BodyText"/>
            </w:pPr>
            <w:r>
              <w:t>Risk owner</w:t>
            </w:r>
          </w:p>
        </w:tc>
        <w:tc>
          <w:tcPr>
            <w:tcW w:w="8003" w:type="dxa"/>
          </w:tcPr>
          <w:p w:rsidR="001261A1" w:rsidRPr="002B1C89" w:rsidRDefault="001261A1" w:rsidP="001261A1">
            <w:pPr>
              <w:pStyle w:val="BodyText"/>
              <w:rPr>
                <w:rFonts w:cs="Arial"/>
              </w:rPr>
            </w:pPr>
            <w:r w:rsidRPr="002B1C89">
              <w:rPr>
                <w:rFonts w:cs="Arial"/>
              </w:rPr>
              <w:t>Member of the programme/project  team who is responsible for the effective management of an individual risk, including establishing the risk severity, developing an appropriate mitigation plan and ensuring that mitigation actions are completed in a timely manner. The Risk Owner is responsible for alerting the project/programme manager of changes to the profile of the risk as and when they occur.</w:t>
            </w:r>
          </w:p>
        </w:tc>
      </w:tr>
      <w:tr w:rsidR="001261A1" w:rsidTr="00503F03">
        <w:tc>
          <w:tcPr>
            <w:tcW w:w="2913" w:type="dxa"/>
          </w:tcPr>
          <w:p w:rsidR="001261A1" w:rsidRDefault="001261A1" w:rsidP="001261A1">
            <w:pPr>
              <w:pStyle w:val="BodyText"/>
            </w:pPr>
            <w:r>
              <w:t xml:space="preserve">Risk </w:t>
            </w:r>
            <w:proofErr w:type="spellStart"/>
            <w:r>
              <w:t>actionee</w:t>
            </w:r>
            <w:proofErr w:type="spellEnd"/>
          </w:p>
        </w:tc>
        <w:tc>
          <w:tcPr>
            <w:tcW w:w="8003" w:type="dxa"/>
          </w:tcPr>
          <w:p w:rsidR="001261A1" w:rsidRPr="002B1C89" w:rsidRDefault="005302A8" w:rsidP="001261A1">
            <w:pPr>
              <w:pStyle w:val="BodyText"/>
              <w:rPr>
                <w:rFonts w:cs="Arial"/>
              </w:rPr>
            </w:pPr>
            <w:hyperlink r:id="rId17" w:history="1">
              <w:r w:rsidR="001261A1" w:rsidRPr="000022BD">
                <w:rPr>
                  <w:rFonts w:cs="Arial"/>
                </w:rPr>
                <w:t>Responsible</w:t>
              </w:r>
            </w:hyperlink>
            <w:r w:rsidR="001261A1" w:rsidRPr="000022BD">
              <w:rPr>
                <w:rFonts w:cs="Arial"/>
              </w:rPr>
              <w:t xml:space="preserve"> for the implementation of </w:t>
            </w:r>
            <w:hyperlink r:id="rId18" w:history="1">
              <w:r w:rsidR="001261A1" w:rsidRPr="000022BD">
                <w:rPr>
                  <w:rFonts w:cs="Arial"/>
                </w:rPr>
                <w:t>risk</w:t>
              </w:r>
            </w:hyperlink>
            <w:r w:rsidR="001261A1" w:rsidRPr="000022BD">
              <w:rPr>
                <w:rFonts w:cs="Arial"/>
              </w:rPr>
              <w:t xml:space="preserve"> response actions</w:t>
            </w:r>
            <w:r w:rsidR="001261A1">
              <w:rPr>
                <w:rFonts w:cs="Arial"/>
              </w:rPr>
              <w:t>, taking</w:t>
            </w:r>
            <w:r w:rsidR="001261A1" w:rsidRPr="000022BD">
              <w:rPr>
                <w:rFonts w:cs="Arial"/>
              </w:rPr>
              <w:t xml:space="preserve"> direction from the risk owner</w:t>
            </w:r>
            <w:r w:rsidR="001261A1">
              <w:rPr>
                <w:rFonts w:cs="Arial"/>
              </w:rPr>
              <w:t xml:space="preserve"> and providing support.</w:t>
            </w:r>
          </w:p>
        </w:tc>
      </w:tr>
      <w:tr w:rsidR="001261A1" w:rsidTr="00503F03">
        <w:tc>
          <w:tcPr>
            <w:tcW w:w="2913" w:type="dxa"/>
          </w:tcPr>
          <w:p w:rsidR="001261A1" w:rsidRDefault="001261A1" w:rsidP="001261A1">
            <w:pPr>
              <w:pStyle w:val="BodyText"/>
            </w:pPr>
            <w:r>
              <w:lastRenderedPageBreak/>
              <w:t>Risk and issue manager (RIM)</w:t>
            </w:r>
          </w:p>
        </w:tc>
        <w:tc>
          <w:tcPr>
            <w:tcW w:w="8003" w:type="dxa"/>
          </w:tcPr>
          <w:p w:rsidR="001261A1" w:rsidRPr="002B1C89" w:rsidRDefault="00B400FF" w:rsidP="001261A1">
            <w:pPr>
              <w:pStyle w:val="BodyText"/>
              <w:rPr>
                <w:rFonts w:cs="Arial"/>
              </w:rPr>
            </w:pPr>
            <w:r w:rsidRPr="002B1C89">
              <w:rPr>
                <w:rFonts w:cs="Arial"/>
              </w:rPr>
              <w:t>Responsible for developing and operating the risk management process. The</w:t>
            </w:r>
            <w:r>
              <w:rPr>
                <w:rFonts w:cs="Arial"/>
              </w:rPr>
              <w:t xml:space="preserve"> </w:t>
            </w:r>
            <w:r w:rsidRPr="002B1C89">
              <w:rPr>
                <w:rFonts w:cs="Arial"/>
              </w:rPr>
              <w:t>RIM is the custodian of the programme risk log, and is responsible for the production of risk management reports as req</w:t>
            </w:r>
            <w:r>
              <w:rPr>
                <w:rFonts w:cs="Arial"/>
              </w:rPr>
              <w:t xml:space="preserve">uired by the Programme </w:t>
            </w:r>
            <w:r w:rsidRPr="002B1C89">
              <w:rPr>
                <w:rFonts w:cs="Arial"/>
              </w:rPr>
              <w:t>management team and governance bodies. The RIM is responsib</w:t>
            </w:r>
            <w:r>
              <w:rPr>
                <w:rFonts w:cs="Arial"/>
              </w:rPr>
              <w:t xml:space="preserve">le for working with the </w:t>
            </w:r>
            <w:r w:rsidRPr="002B1C89">
              <w:rPr>
                <w:rFonts w:cs="Arial"/>
              </w:rPr>
              <w:t>programme managers to ensure that they understand the tools and techniques available to them to manage risk, and assist project managers by identifying opportunities for improvement.</w:t>
            </w:r>
          </w:p>
        </w:tc>
      </w:tr>
      <w:tr w:rsidR="001261A1" w:rsidTr="00503F03">
        <w:tc>
          <w:tcPr>
            <w:tcW w:w="2913" w:type="dxa"/>
          </w:tcPr>
          <w:p w:rsidR="001261A1" w:rsidRDefault="001261A1" w:rsidP="001261A1">
            <w:pPr>
              <w:pStyle w:val="BodyText"/>
            </w:pPr>
            <w:r>
              <w:t>Project team members</w:t>
            </w:r>
          </w:p>
        </w:tc>
        <w:tc>
          <w:tcPr>
            <w:tcW w:w="8003" w:type="dxa"/>
          </w:tcPr>
          <w:p w:rsidR="001261A1" w:rsidRPr="002B1C89" w:rsidRDefault="001261A1" w:rsidP="001261A1">
            <w:pPr>
              <w:pStyle w:val="BodyText"/>
              <w:rPr>
                <w:rFonts w:cs="Arial"/>
              </w:rPr>
            </w:pPr>
            <w:r w:rsidRPr="002B1C89">
              <w:rPr>
                <w:rFonts w:cs="Arial"/>
              </w:rPr>
              <w:t>Responsible for identifying risks and bringing them to the attention of the Project Manager, carrying out any mitigation actions as assigned by the Risk Owner, and reporting status of these actions to the Risk Owner.</w:t>
            </w:r>
          </w:p>
        </w:tc>
      </w:tr>
    </w:tbl>
    <w:p w:rsidR="001261A1" w:rsidRDefault="001261A1" w:rsidP="002368D7">
      <w:pPr>
        <w:pStyle w:val="BodyText"/>
      </w:pPr>
    </w:p>
    <w:p w:rsidR="00615A40" w:rsidRDefault="00615A40" w:rsidP="002368D7">
      <w:pPr>
        <w:pStyle w:val="BodyText"/>
      </w:pPr>
    </w:p>
    <w:p w:rsidR="00615A40" w:rsidRDefault="00615A40" w:rsidP="002368D7">
      <w:pPr>
        <w:pStyle w:val="BodyText"/>
      </w:pPr>
    </w:p>
    <w:p w:rsidR="00615A40" w:rsidRDefault="00615A40" w:rsidP="002368D7">
      <w:pPr>
        <w:pStyle w:val="BodyText"/>
      </w:pPr>
    </w:p>
    <w:p w:rsidR="00615A40" w:rsidRDefault="00615A40" w:rsidP="002368D7">
      <w:pPr>
        <w:pStyle w:val="BodyText"/>
      </w:pPr>
    </w:p>
    <w:p w:rsidR="00615A40" w:rsidRDefault="00615A40" w:rsidP="002368D7">
      <w:pPr>
        <w:pStyle w:val="BodyText"/>
      </w:pPr>
    </w:p>
    <w:p w:rsidR="00615A40" w:rsidRDefault="00615A40" w:rsidP="002368D7">
      <w:pPr>
        <w:pStyle w:val="BodyText"/>
      </w:pPr>
    </w:p>
    <w:p w:rsidR="00DC3036" w:rsidRDefault="00DC3036" w:rsidP="002368D7">
      <w:pPr>
        <w:pStyle w:val="BodyText"/>
      </w:pPr>
    </w:p>
    <w:p w:rsidR="00DC3036" w:rsidRDefault="00DC3036" w:rsidP="002368D7">
      <w:pPr>
        <w:pStyle w:val="BodyText"/>
      </w:pPr>
    </w:p>
    <w:p w:rsidR="001261A1" w:rsidRPr="00193A5E" w:rsidRDefault="001261A1" w:rsidP="001261A1">
      <w:pPr>
        <w:pStyle w:val="Heading1"/>
      </w:pPr>
      <w:bookmarkStart w:id="8" w:name="_Toc505032454"/>
      <w:bookmarkStart w:id="9" w:name="_Toc520884374"/>
      <w:r w:rsidRPr="00193A5E">
        <w:lastRenderedPageBreak/>
        <w:t>Risk Management Process</w:t>
      </w:r>
      <w:bookmarkEnd w:id="8"/>
      <w:bookmarkEnd w:id="9"/>
    </w:p>
    <w:p w:rsidR="001261A1" w:rsidRDefault="001261A1" w:rsidP="001261A1">
      <w:pPr>
        <w:pStyle w:val="BodyText"/>
      </w:pPr>
      <w:r w:rsidRPr="00D7466A">
        <w:t>This process complements the Home Office Risk Managemen</w:t>
      </w:r>
      <w:r>
        <w:t xml:space="preserve">t Policy and Guidance and is </w:t>
      </w:r>
      <w:r w:rsidRPr="00D7466A">
        <w:t xml:space="preserve">based upon </w:t>
      </w:r>
      <w:r>
        <w:t>the Infrastructure and Project</w:t>
      </w:r>
      <w:r w:rsidRPr="00D7466A">
        <w:t xml:space="preserve"> Authority </w:t>
      </w:r>
      <w:r>
        <w:t>Managing Successful Programmes B</w:t>
      </w:r>
      <w:r w:rsidRPr="00D7466A">
        <w:t xml:space="preserve">est </w:t>
      </w:r>
      <w:r>
        <w:t>P</w:t>
      </w:r>
      <w:r w:rsidRPr="00D7466A">
        <w:t>ractice</w:t>
      </w:r>
      <w:r>
        <w:t xml:space="preserve"> Guidance.  Those responsible for risk management should also be familiar with </w:t>
      </w:r>
      <w:r w:rsidR="00CA5364">
        <w:t xml:space="preserve">the </w:t>
      </w:r>
      <w:hyperlink r:id="rId19" w:history="1">
        <w:r>
          <w:rPr>
            <w:rStyle w:val="Hyperlink"/>
            <w:rFonts w:cs="Arial"/>
          </w:rPr>
          <w:t>Home Office Risk Management Policy &amp; Guidance</w:t>
        </w:r>
      </w:hyperlink>
      <w:r>
        <w:t xml:space="preserve">.  </w:t>
      </w:r>
    </w:p>
    <w:p w:rsidR="001261A1" w:rsidRDefault="001261A1" w:rsidP="001261A1">
      <w:pPr>
        <w:rPr>
          <w:rFonts w:cs="Arial"/>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r>
        <w:rPr>
          <w:noProof/>
        </w:rPr>
        <w:drawing>
          <wp:anchor distT="0" distB="0" distL="114300" distR="114300" simplePos="0" relativeHeight="251659776" behindDoc="0" locked="0" layoutInCell="1" allowOverlap="1">
            <wp:simplePos x="541020" y="7223760"/>
            <wp:positionH relativeFrom="page">
              <wp:align>center</wp:align>
            </wp:positionH>
            <wp:positionV relativeFrom="paragraph">
              <wp:posOffset>0</wp:posOffset>
            </wp:positionV>
            <wp:extent cx="2455200" cy="2253600"/>
            <wp:effectExtent l="19050" t="0" r="22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duotone>
                        <a:schemeClr val="accent4">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461" t="21533" r="43669" b="26411"/>
                    <a:stretch/>
                  </pic:blipFill>
                  <pic:spPr bwMode="auto">
                    <a:xfrm>
                      <a:off x="0" y="0"/>
                      <a:ext cx="2455200" cy="2253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Default="001261A1" w:rsidP="001261A1">
      <w:pPr>
        <w:rPr>
          <w:rFonts w:cs="Arial"/>
          <w:lang w:eastAsia="en-US"/>
        </w:rPr>
      </w:pPr>
    </w:p>
    <w:p w:rsidR="001261A1" w:rsidRPr="000022BD" w:rsidRDefault="001261A1" w:rsidP="001261A1">
      <w:pPr>
        <w:jc w:val="center"/>
        <w:rPr>
          <w:rFonts w:cs="Arial"/>
          <w:b/>
          <w:sz w:val="20"/>
          <w:szCs w:val="20"/>
          <w:lang w:eastAsia="en-US"/>
        </w:rPr>
      </w:pPr>
      <w:r w:rsidRPr="000022BD">
        <w:rPr>
          <w:rFonts w:cs="Arial"/>
          <w:b/>
          <w:sz w:val="20"/>
          <w:szCs w:val="20"/>
          <w:lang w:eastAsia="en-US"/>
        </w:rPr>
        <w:t>The Risk Management Cycle</w:t>
      </w:r>
    </w:p>
    <w:p w:rsidR="001261A1" w:rsidRDefault="001261A1" w:rsidP="001261A1">
      <w:pPr>
        <w:rPr>
          <w:rFonts w:cs="Arial"/>
          <w:lang w:eastAsia="en-US"/>
        </w:rPr>
      </w:pPr>
    </w:p>
    <w:p w:rsidR="001261A1" w:rsidRDefault="00355E6C" w:rsidP="001261A1">
      <w:pPr>
        <w:pStyle w:val="ListBullet"/>
      </w:pPr>
      <w:r w:rsidRPr="000022BD">
        <w:rPr>
          <w:b/>
        </w:rPr>
        <w:t>Identification</w:t>
      </w:r>
      <w:r w:rsidRPr="000022BD">
        <w:t xml:space="preserve"> Risks</w:t>
      </w:r>
      <w:r w:rsidR="001261A1" w:rsidRPr="000022BD">
        <w:t xml:space="preserve"> shall be identified in the light of the programme’s objectives and scope, the </w:t>
      </w:r>
      <w:hyperlink r:id="rId21" w:history="1">
        <w:r w:rsidR="001261A1" w:rsidRPr="000022BD">
          <w:t>assumption</w:t>
        </w:r>
      </w:hyperlink>
      <w:r w:rsidR="001261A1" w:rsidRPr="000022BD">
        <w:t>s that have been made, who the stakeholders are, where the programme fits inside the organizatio</w:t>
      </w:r>
      <w:r w:rsidR="00CD00C5">
        <w:t xml:space="preserve">n and the current environment. </w:t>
      </w:r>
      <w:r w:rsidR="001261A1" w:rsidRPr="000022BD">
        <w:t xml:space="preserve">Threats to the programmes objectives as well as opportunities to overachieve on </w:t>
      </w:r>
      <w:hyperlink r:id="rId22" w:history="1">
        <w:r w:rsidR="001261A1" w:rsidRPr="000022BD">
          <w:t>outcome</w:t>
        </w:r>
      </w:hyperlink>
      <w:r w:rsidR="001261A1" w:rsidRPr="000022BD">
        <w:t>s and benefits shall be classified as risks and entered</w:t>
      </w:r>
      <w:r w:rsidR="00442A94">
        <w:t xml:space="preserve"> in</w:t>
      </w:r>
      <w:r w:rsidR="001261A1" w:rsidRPr="000022BD">
        <w:t xml:space="preserve"> the risk </w:t>
      </w:r>
      <w:r w:rsidR="00442A94">
        <w:t>section of the RAID log</w:t>
      </w:r>
      <w:r w:rsidR="001261A1" w:rsidRPr="000022BD">
        <w:t xml:space="preserve">.  </w:t>
      </w:r>
    </w:p>
    <w:p w:rsidR="001261A1" w:rsidRDefault="001261A1" w:rsidP="001261A1">
      <w:pPr>
        <w:pStyle w:val="ListBullet"/>
        <w:numPr>
          <w:ilvl w:val="0"/>
          <w:numId w:val="0"/>
        </w:numPr>
        <w:ind w:left="454"/>
      </w:pPr>
      <w:r w:rsidRPr="0009147C">
        <w:t>The risks identified will be described in the best possible way to ensure they are fully understood by the entire Programme team. In order to separate risks from their causes and effects, a three-part structured Risk Statement shall be used. A clear description of a risk will follow the guide below:</w:t>
      </w:r>
    </w:p>
    <w:p w:rsidR="001261A1" w:rsidRPr="0009147C" w:rsidRDefault="001261A1" w:rsidP="001261A1">
      <w:pPr>
        <w:pStyle w:val="ListBullet"/>
        <w:numPr>
          <w:ilvl w:val="0"/>
          <w:numId w:val="0"/>
        </w:numPr>
        <w:ind w:left="454"/>
      </w:pPr>
    </w:p>
    <w:p w:rsidR="001261A1" w:rsidRPr="0009147C" w:rsidRDefault="001261A1" w:rsidP="001261A1">
      <w:pPr>
        <w:pStyle w:val="ListBullet2"/>
      </w:pPr>
      <w:r w:rsidRPr="00910DD5">
        <w:rPr>
          <w:b/>
        </w:rPr>
        <w:t>Cause</w:t>
      </w:r>
      <w:r w:rsidRPr="0009147C">
        <w:t xml:space="preserve"> “Due to …” - identifying the factual set of circumstances that a risk is based on</w:t>
      </w:r>
    </w:p>
    <w:p w:rsidR="001261A1" w:rsidRPr="0009147C" w:rsidRDefault="001261A1" w:rsidP="001261A1">
      <w:pPr>
        <w:pStyle w:val="ListBullet2"/>
      </w:pPr>
      <w:r w:rsidRPr="00910DD5">
        <w:rPr>
          <w:b/>
        </w:rPr>
        <w:t>Effect</w:t>
      </w:r>
      <w:r w:rsidRPr="0009147C">
        <w:t xml:space="preserve"> “there is a risk that …” - describing the event or series of events (uncertain outcome) that constitute the risk</w:t>
      </w:r>
    </w:p>
    <w:p w:rsidR="001261A1" w:rsidRDefault="001261A1" w:rsidP="001261A1">
      <w:pPr>
        <w:pStyle w:val="ListBullet2"/>
      </w:pPr>
      <w:r w:rsidRPr="00910DD5">
        <w:rPr>
          <w:b/>
        </w:rPr>
        <w:t>Impact</w:t>
      </w:r>
      <w:r w:rsidRPr="0009147C">
        <w:t xml:space="preserve"> “resulting in …” - identifying the impacts / consequence of the risk occurring on the Programme objectives</w:t>
      </w:r>
    </w:p>
    <w:p w:rsidR="001261A1" w:rsidRDefault="001261A1" w:rsidP="001261A1">
      <w:pPr>
        <w:pStyle w:val="ListBullet"/>
        <w:numPr>
          <w:ilvl w:val="0"/>
          <w:numId w:val="0"/>
        </w:numPr>
        <w:ind w:left="454"/>
      </w:pPr>
    </w:p>
    <w:p w:rsidR="001261A1" w:rsidRPr="001261A1" w:rsidRDefault="001261A1" w:rsidP="001261A1">
      <w:pPr>
        <w:pStyle w:val="ListBullet"/>
        <w:numPr>
          <w:ilvl w:val="0"/>
          <w:numId w:val="0"/>
        </w:numPr>
        <w:ind w:left="454"/>
      </w:pPr>
      <w:r w:rsidRPr="0009147C">
        <w:t xml:space="preserve">It is a requirement that each risk has a Risk Owner to ensure that even the smallest risk is being monitored at some level by a Programme Team Member. </w:t>
      </w:r>
      <w:r w:rsidRPr="001261A1">
        <w:t>The Risk Owner is defined as the person on the Programme, or supporting the Programme, who is best qualified to understand and manage the risk.</w:t>
      </w:r>
    </w:p>
    <w:p w:rsidR="001261A1" w:rsidRPr="009B6C2B" w:rsidRDefault="009B6C2B" w:rsidP="001261A1">
      <w:pPr>
        <w:pStyle w:val="ListBullet"/>
        <w:numPr>
          <w:ilvl w:val="0"/>
          <w:numId w:val="0"/>
        </w:numPr>
        <w:ind w:left="454"/>
        <w:rPr>
          <w:i/>
        </w:rPr>
      </w:pPr>
      <w:r>
        <w:rPr>
          <w:i/>
        </w:rPr>
        <w:t>[</w:t>
      </w:r>
      <w:r w:rsidR="001261A1" w:rsidRPr="009B6C2B">
        <w:rPr>
          <w:i/>
        </w:rPr>
        <w:t xml:space="preserve">The risk </w:t>
      </w:r>
      <w:r w:rsidR="00B400FF" w:rsidRPr="009B6C2B">
        <w:rPr>
          <w:i/>
        </w:rPr>
        <w:t xml:space="preserve">log forms part of the RAID log and can be found at </w:t>
      </w:r>
      <w:r w:rsidR="001261A1" w:rsidRPr="009B6C2B">
        <w:rPr>
          <w:i/>
        </w:rPr>
        <w:t>Annex A</w:t>
      </w:r>
      <w:r w:rsidR="00B400FF" w:rsidRPr="009B6C2B">
        <w:rPr>
          <w:i/>
        </w:rPr>
        <w:t>.</w:t>
      </w:r>
      <w:r>
        <w:rPr>
          <w:i/>
        </w:rPr>
        <w:t>]</w:t>
      </w:r>
    </w:p>
    <w:p w:rsidR="001261A1" w:rsidRPr="0068514A" w:rsidRDefault="005227BF" w:rsidP="001261A1">
      <w:pPr>
        <w:pStyle w:val="ListBullet"/>
      </w:pPr>
      <w:r w:rsidRPr="000022BD">
        <w:rPr>
          <w:b/>
        </w:rPr>
        <w:t>Assessment</w:t>
      </w:r>
      <w:r w:rsidRPr="000022BD">
        <w:t xml:space="preserve"> The</w:t>
      </w:r>
      <w:r w:rsidR="001261A1" w:rsidRPr="000022BD">
        <w:t xml:space="preserve"> threats and the opportunities of risks will be estimated in terms of their probability, impact and </w:t>
      </w:r>
      <w:hyperlink r:id="rId23" w:history="1">
        <w:r w:rsidR="001261A1" w:rsidRPr="000022BD">
          <w:t>proximity</w:t>
        </w:r>
      </w:hyperlink>
      <w:r>
        <w:t xml:space="preserve">. </w:t>
      </w:r>
      <w:r w:rsidR="001261A1" w:rsidRPr="000022BD">
        <w:t>At programme level, the net aggregated effect of the identified threats and opportunities on the programme shall be estimated to help to form a view of the aggregated level of risk that the programme is facing as it progresses. Scales for est</w:t>
      </w:r>
      <w:r w:rsidR="00442A94">
        <w:t>imating likelihood</w:t>
      </w:r>
      <w:r>
        <w:t xml:space="preserve"> and impact, </w:t>
      </w:r>
      <w:r w:rsidR="001261A1" w:rsidRPr="000022BD">
        <w:t xml:space="preserve">giving the criteria to be used for each level within the scale can be found at </w:t>
      </w:r>
      <w:hyperlink w:anchor="_Annex_C_-" w:history="1">
        <w:r w:rsidR="001261A1" w:rsidRPr="00442A94">
          <w:rPr>
            <w:rStyle w:val="Hyperlink"/>
          </w:rPr>
          <w:t>Annex C</w:t>
        </w:r>
      </w:hyperlink>
      <w:r w:rsidR="001261A1" w:rsidRPr="0068514A">
        <w:t xml:space="preserve"> and </w:t>
      </w:r>
      <w:hyperlink w:anchor="_Annex_D_–" w:history="1">
        <w:r w:rsidR="001261A1" w:rsidRPr="00442A94">
          <w:rPr>
            <w:rStyle w:val="Hyperlink"/>
          </w:rPr>
          <w:t>Annex D</w:t>
        </w:r>
      </w:hyperlink>
      <w:r w:rsidR="001261A1" w:rsidRPr="0068514A">
        <w:t>.</w:t>
      </w:r>
    </w:p>
    <w:p w:rsidR="001261A1" w:rsidRPr="000022BD" w:rsidRDefault="001261A1" w:rsidP="001261A1">
      <w:pPr>
        <w:pStyle w:val="ListBullet"/>
        <w:numPr>
          <w:ilvl w:val="0"/>
          <w:numId w:val="0"/>
        </w:numPr>
        <w:ind w:left="454"/>
      </w:pPr>
      <w:r w:rsidRPr="000022BD">
        <w:t xml:space="preserve">Within the Home Office, a five-point scale is used when assigning a rating to both the likelihood and impact of individual risks (very high, high, medium, low, and very low). The Table at </w:t>
      </w:r>
      <w:hyperlink w:anchor="_/Annex_B_–" w:history="1">
        <w:r w:rsidRPr="00442A94">
          <w:rPr>
            <w:rStyle w:val="Hyperlink"/>
          </w:rPr>
          <w:t>Annex B</w:t>
        </w:r>
      </w:hyperlink>
      <w:r w:rsidRPr="000022BD">
        <w:t xml:space="preserve"> provides a summary mapping of these. </w:t>
      </w:r>
      <w:hyperlink r:id="rId24" w:history="1">
        <w:r w:rsidRPr="000022BD">
          <w:rPr>
            <w:rStyle w:val="Hyperlink"/>
            <w:rFonts w:cs="Arial"/>
          </w:rPr>
          <w:t>Home Office Risk Management Policy &amp; Guidance</w:t>
        </w:r>
      </w:hyperlink>
      <w:r w:rsidRPr="000022BD">
        <w:t xml:space="preserve"> provides more detail.   Having scored likelihood and impact you should determine an overall risk-rating, based on the </w:t>
      </w:r>
      <w:r w:rsidR="00B400FF" w:rsidRPr="000022BD">
        <w:t>matrix and</w:t>
      </w:r>
      <w:r w:rsidRPr="000022BD">
        <w:t xml:space="preserve"> enter it in the risk </w:t>
      </w:r>
      <w:r w:rsidR="00B400FF">
        <w:t>log</w:t>
      </w:r>
      <w:r w:rsidRPr="000022BD">
        <w:t>.</w:t>
      </w:r>
    </w:p>
    <w:p w:rsidR="001261A1" w:rsidRPr="000022BD" w:rsidRDefault="005302A8" w:rsidP="001261A1">
      <w:pPr>
        <w:pStyle w:val="ListBullet"/>
      </w:pPr>
      <w:hyperlink r:id="rId25" w:history="1">
        <w:r w:rsidR="001261A1" w:rsidRPr="000022BD">
          <w:rPr>
            <w:b/>
          </w:rPr>
          <w:t>Proximity</w:t>
        </w:r>
      </w:hyperlink>
      <w:r w:rsidR="001261A1" w:rsidRPr="000022BD">
        <w:t xml:space="preserve"> reflects the fact that risks will occur at particular times in the future and the expected value will vary according to when they occur. Understanding of a risk’s probability and impact informs management of the priority of a risk, understanding of a risk’s proximity informs management of its impending urgency. Knowing the proximity also helps to identify the appropriate response and the required trigger and timing of the response. Proximity is assessed as Black – within a month; Red one to three months; Amber - three to six months; Green – Six months to a </w:t>
      </w:r>
      <w:r w:rsidR="003174C8" w:rsidRPr="000022BD">
        <w:t>year and</w:t>
      </w:r>
      <w:r w:rsidR="001261A1" w:rsidRPr="000022BD">
        <w:t xml:space="preserve"> is entered in the risk </w:t>
      </w:r>
      <w:r w:rsidR="002335F3">
        <w:t>log</w:t>
      </w:r>
      <w:r w:rsidR="001261A1" w:rsidRPr="000022BD">
        <w:t>.</w:t>
      </w:r>
    </w:p>
    <w:p w:rsidR="001261A1" w:rsidRPr="000022BD" w:rsidRDefault="001261A1" w:rsidP="001261A1">
      <w:pPr>
        <w:pStyle w:val="ListBullet"/>
      </w:pPr>
      <w:r w:rsidRPr="000022BD">
        <w:rPr>
          <w:b/>
        </w:rPr>
        <w:t>Plan</w:t>
      </w:r>
      <w:r w:rsidRPr="000022BD">
        <w:t xml:space="preserve"> For each risk that has been identified and appropriately assessed, the programme shall develop </w:t>
      </w:r>
      <w:r w:rsidR="003174C8">
        <w:t>(and record in the risk log</w:t>
      </w:r>
      <w:r w:rsidRPr="000022BD">
        <w:t xml:space="preserve">) a series of responses available that it can use individually or in combination to deflect a threat or help to realize an </w:t>
      </w:r>
      <w:hyperlink r:id="rId26" w:history="1">
        <w:r w:rsidRPr="0068514A">
          <w:t>opportunity</w:t>
        </w:r>
      </w:hyperlink>
      <w:r w:rsidRPr="000022BD">
        <w:t xml:space="preserve">. </w:t>
      </w:r>
      <w:hyperlink w:anchor="_Annex_E_–" w:history="1">
        <w:r w:rsidRPr="00442A94">
          <w:rPr>
            <w:rStyle w:val="Hyperlink"/>
          </w:rPr>
          <w:t>Annex E</w:t>
        </w:r>
      </w:hyperlink>
      <w:r w:rsidRPr="000022BD">
        <w:t xml:space="preserve"> details potential responses.</w:t>
      </w:r>
    </w:p>
    <w:p w:rsidR="001261A1" w:rsidRPr="000022BD" w:rsidRDefault="001261A1" w:rsidP="001261A1">
      <w:pPr>
        <w:pStyle w:val="ListBullet"/>
      </w:pPr>
      <w:r w:rsidRPr="000022BD">
        <w:rPr>
          <w:b/>
        </w:rPr>
        <w:t xml:space="preserve">Implement </w:t>
      </w:r>
      <w:r w:rsidRPr="000022BD">
        <w:t xml:space="preserve">  The planned risk management actions are implemented and monitored as to their effectiveness, and corrective action is taken where responses do not match expectations.  </w:t>
      </w:r>
      <w:r w:rsidR="0023740A" w:rsidRPr="000022BD">
        <w:t>Clear roles</w:t>
      </w:r>
      <w:r w:rsidRPr="000022BD">
        <w:t xml:space="preserve"> and responsibilities shall be allocated, to ensure that responsibility for the management and control of the risk</w:t>
      </w:r>
      <w:r w:rsidR="0023740A" w:rsidRPr="000022BD">
        <w:t>, and</w:t>
      </w:r>
      <w:r w:rsidRPr="000022BD">
        <w:t xml:space="preserve"> for the implementation of response actions are clearly allocated. </w:t>
      </w:r>
    </w:p>
    <w:p w:rsidR="001261A1" w:rsidRPr="000022BD" w:rsidRDefault="001261A1" w:rsidP="001261A1">
      <w:pPr>
        <w:pStyle w:val="ListBullet"/>
        <w:numPr>
          <w:ilvl w:val="0"/>
          <w:numId w:val="0"/>
        </w:numPr>
        <w:ind w:left="454"/>
        <w:rPr>
          <w:i/>
        </w:rPr>
      </w:pPr>
      <w:r w:rsidRPr="000022BD">
        <w:rPr>
          <w:i/>
        </w:rPr>
        <w:t xml:space="preserve">[Risks should be managed as a coherent whole, these being identified, assessed and controlled at the appropriate (Project, </w:t>
      </w:r>
      <w:proofErr w:type="spellStart"/>
      <w:r w:rsidRPr="000022BD">
        <w:rPr>
          <w:i/>
        </w:rPr>
        <w:t>Workstream</w:t>
      </w:r>
      <w:proofErr w:type="spellEnd"/>
      <w:r w:rsidRPr="000022BD">
        <w:rPr>
          <w:i/>
        </w:rPr>
        <w:t>, Portfolio) level, being escalated for information or action, as appropriate. This also involves prioritising them in order of severity, so that effort can be focussed on those most likely to materialise and which will have the greatest impact.]</w:t>
      </w:r>
    </w:p>
    <w:p w:rsidR="001261A1" w:rsidRDefault="001261A1" w:rsidP="001261A1">
      <w:pPr>
        <w:jc w:val="both"/>
        <w:rPr>
          <w:rFonts w:cs="Arial"/>
        </w:rPr>
      </w:pPr>
    </w:p>
    <w:p w:rsidR="001261A1" w:rsidRDefault="001261A1" w:rsidP="001261A1">
      <w:pPr>
        <w:pStyle w:val="Heading1"/>
      </w:pPr>
      <w:bookmarkStart w:id="10" w:name="_Toc505032455"/>
      <w:bookmarkStart w:id="11" w:name="_Toc520884375"/>
      <w:r>
        <w:lastRenderedPageBreak/>
        <w:t>Communication and engagement</w:t>
      </w:r>
      <w:bookmarkEnd w:id="10"/>
      <w:bookmarkEnd w:id="11"/>
    </w:p>
    <w:p w:rsidR="001261A1" w:rsidRPr="0009147C" w:rsidRDefault="001261A1" w:rsidP="001261A1">
      <w:pPr>
        <w:pStyle w:val="Bodycopy"/>
      </w:pPr>
    </w:p>
    <w:p w:rsidR="001261A1" w:rsidRDefault="001261A1" w:rsidP="00671898">
      <w:pPr>
        <w:pStyle w:val="BodyText"/>
      </w:pPr>
      <w:r w:rsidRPr="0009147C">
        <w:t>Risks and opportunities will be communicated throughout the Programme organis</w:t>
      </w:r>
      <w:r w:rsidR="00EF085C">
        <w:t>ation by using the RAID log</w:t>
      </w:r>
      <w:r w:rsidRPr="0009147C">
        <w:t>, regular risk reviews / workshops and repo</w:t>
      </w:r>
      <w:r w:rsidR="00EF085C">
        <w:t>rts. The Programme RAID log</w:t>
      </w:r>
      <w:r w:rsidRPr="0009147C">
        <w:t xml:space="preserve"> and associated reports will be stored in a central </w:t>
      </w:r>
      <w:r w:rsidR="007B72BF" w:rsidRPr="0009147C">
        <w:t>location</w:t>
      </w:r>
      <w:r w:rsidR="007B72BF">
        <w:t xml:space="preserve"> </w:t>
      </w:r>
      <w:r w:rsidR="007B72BF" w:rsidRPr="0009147C">
        <w:t>to</w:t>
      </w:r>
      <w:r w:rsidRPr="0009147C">
        <w:t xml:space="preserve"> ensure that that all Programme team members have visibility of the major risks, opportunities and mitigations.</w:t>
      </w:r>
    </w:p>
    <w:p w:rsidR="001261A1" w:rsidRPr="0009147C" w:rsidRDefault="001261A1" w:rsidP="00671898">
      <w:pPr>
        <w:pStyle w:val="BodyText"/>
      </w:pPr>
      <w:r w:rsidRPr="0009147C">
        <w:t xml:space="preserve">  </w:t>
      </w:r>
    </w:p>
    <w:p w:rsidR="001261A1" w:rsidRDefault="001261A1" w:rsidP="00671898">
      <w:pPr>
        <w:pStyle w:val="BodyText"/>
      </w:pPr>
      <w:r w:rsidRPr="0009147C">
        <w:t>It will be the responsibility of the Risk Management Team to develop and encourage a culture of proactive risk management within the Programme team. This</w:t>
      </w:r>
      <w:r>
        <w:t xml:space="preserve"> will be done through:</w:t>
      </w:r>
    </w:p>
    <w:p w:rsidR="001261A1" w:rsidRPr="0009147C" w:rsidRDefault="001261A1" w:rsidP="00671898">
      <w:pPr>
        <w:pStyle w:val="ListBullet"/>
        <w:rPr>
          <w:b/>
          <w:color w:val="000000"/>
        </w:rPr>
      </w:pPr>
      <w:r w:rsidRPr="0009147C">
        <w:rPr>
          <w:b/>
          <w:color w:val="000000"/>
        </w:rPr>
        <w:t>Engagement</w:t>
      </w:r>
      <w:r>
        <w:rPr>
          <w:b/>
          <w:color w:val="000000"/>
        </w:rPr>
        <w:t xml:space="preserve">.  </w:t>
      </w:r>
      <w:r w:rsidRPr="0009147C">
        <w:t>Ensuring everyone on the Programme understands their responsibilities and are actively engaged in the process</w:t>
      </w:r>
      <w:r w:rsidRPr="0009147C">
        <w:rPr>
          <w:b/>
          <w:color w:val="000000"/>
        </w:rPr>
        <w:t xml:space="preserve"> </w:t>
      </w:r>
    </w:p>
    <w:p w:rsidR="001261A1" w:rsidRPr="0009147C" w:rsidRDefault="001261A1" w:rsidP="00671898">
      <w:pPr>
        <w:pStyle w:val="ListBullet"/>
        <w:rPr>
          <w:b/>
          <w:color w:val="000000"/>
        </w:rPr>
      </w:pPr>
      <w:r w:rsidRPr="0009147C">
        <w:rPr>
          <w:b/>
          <w:color w:val="000000"/>
        </w:rPr>
        <w:t>Enabling decision making</w:t>
      </w:r>
      <w:r>
        <w:rPr>
          <w:b/>
          <w:color w:val="000000"/>
        </w:rPr>
        <w:t xml:space="preserve">  </w:t>
      </w:r>
      <w:r w:rsidRPr="0009147C">
        <w:t>Ensuring that where decisions are required, they are taken to the Governance Board with decision making authority</w:t>
      </w:r>
    </w:p>
    <w:p w:rsidR="001261A1" w:rsidRPr="0009147C" w:rsidRDefault="001261A1" w:rsidP="00671898">
      <w:pPr>
        <w:pStyle w:val="ListBullet"/>
        <w:rPr>
          <w:b/>
          <w:color w:val="000000"/>
        </w:rPr>
      </w:pPr>
      <w:r w:rsidRPr="0009147C">
        <w:rPr>
          <w:b/>
          <w:color w:val="000000"/>
        </w:rPr>
        <w:t>Common terminology</w:t>
      </w:r>
      <w:r>
        <w:rPr>
          <w:b/>
          <w:color w:val="000000"/>
        </w:rPr>
        <w:t xml:space="preserve">  </w:t>
      </w:r>
      <w:r w:rsidRPr="0009147C">
        <w:t>Utilising a common language throughout the Programme when talking about risk</w:t>
      </w:r>
      <w:r w:rsidRPr="0009147C">
        <w:rPr>
          <w:b/>
          <w:color w:val="000000"/>
        </w:rPr>
        <w:t xml:space="preserve"> </w:t>
      </w:r>
    </w:p>
    <w:p w:rsidR="00671898" w:rsidRPr="000022BD" w:rsidRDefault="00671898" w:rsidP="00671898">
      <w:pPr>
        <w:pStyle w:val="Heading1"/>
      </w:pPr>
      <w:bookmarkStart w:id="12" w:name="_Toc505032456"/>
      <w:bookmarkStart w:id="13" w:name="_Toc520884376"/>
      <w:r w:rsidRPr="000022BD">
        <w:lastRenderedPageBreak/>
        <w:t>Techniques</w:t>
      </w:r>
      <w:bookmarkEnd w:id="12"/>
      <w:bookmarkEnd w:id="13"/>
    </w:p>
    <w:p w:rsidR="00671898" w:rsidRDefault="00671898" w:rsidP="00671898">
      <w:pPr>
        <w:jc w:val="both"/>
        <w:rPr>
          <w:rFonts w:cs="Arial"/>
        </w:rPr>
      </w:pPr>
    </w:p>
    <w:p w:rsidR="00671898" w:rsidRDefault="00671898" w:rsidP="00671898">
      <w:pPr>
        <w:jc w:val="both"/>
        <w:rPr>
          <w:rFonts w:cs="Arial"/>
          <w:i/>
        </w:rPr>
      </w:pPr>
      <w:r>
        <w:rPr>
          <w:rFonts w:cs="Arial"/>
          <w:i/>
        </w:rPr>
        <w:t xml:space="preserve">[List techniques particular to </w:t>
      </w:r>
      <w:r w:rsidRPr="000022BD">
        <w:rPr>
          <w:rFonts w:cs="Arial"/>
          <w:i/>
        </w:rPr>
        <w:t>the programme]</w:t>
      </w:r>
    </w:p>
    <w:p w:rsidR="008409B2" w:rsidRDefault="008409B2" w:rsidP="00671898">
      <w:pPr>
        <w:jc w:val="both"/>
        <w:rPr>
          <w:rFonts w:cs="Arial"/>
          <w:i/>
        </w:rPr>
      </w:pPr>
    </w:p>
    <w:p w:rsidR="00671898" w:rsidRDefault="008409B2" w:rsidP="008409B2">
      <w:pPr>
        <w:pStyle w:val="BodyText"/>
        <w:rPr>
          <w:rFonts w:cs="Arial"/>
          <w:i/>
        </w:rPr>
      </w:pPr>
      <w:r>
        <w:t>Start text here.</w:t>
      </w:r>
    </w:p>
    <w:p w:rsidR="00671898" w:rsidRDefault="00671898" w:rsidP="00671898">
      <w:pPr>
        <w:rPr>
          <w:rFonts w:cs="Arial"/>
          <w:color w:val="000000"/>
        </w:rPr>
      </w:pPr>
      <w:r w:rsidRPr="0009147C">
        <w:rPr>
          <w:rFonts w:cs="Arial"/>
          <w:color w:val="000000"/>
        </w:rPr>
        <w:t>The Programme team will use the techniques to identify risks:</w:t>
      </w:r>
    </w:p>
    <w:p w:rsidR="00671898" w:rsidRPr="0009147C" w:rsidRDefault="00671898" w:rsidP="00671898">
      <w:pPr>
        <w:ind w:firstLine="714"/>
        <w:rPr>
          <w:rFonts w:cs="Arial"/>
          <w:color w:val="000000"/>
        </w:rPr>
      </w:pPr>
    </w:p>
    <w:p w:rsidR="00671898" w:rsidRPr="00EF085C" w:rsidRDefault="00EF085C" w:rsidP="00EF085C">
      <w:pPr>
        <w:pStyle w:val="Tablebullet"/>
        <w:numPr>
          <w:ilvl w:val="0"/>
          <w:numId w:val="18"/>
        </w:numPr>
        <w:rPr>
          <w:rFonts w:eastAsia="Times New Roman"/>
          <w:color w:val="000000"/>
          <w:sz w:val="24"/>
          <w:szCs w:val="24"/>
          <w:lang w:eastAsia="en-GB"/>
        </w:rPr>
      </w:pPr>
      <w:r>
        <w:rPr>
          <w:rFonts w:eastAsia="Times New Roman"/>
          <w:color w:val="000000"/>
          <w:sz w:val="24"/>
          <w:szCs w:val="24"/>
          <w:lang w:eastAsia="en-GB"/>
        </w:rPr>
        <w:t>Brainstorming/Risk Workshops</w:t>
      </w:r>
      <w:r w:rsidRPr="00EF085C">
        <w:rPr>
          <w:rFonts w:eastAsia="Times New Roman"/>
          <w:color w:val="000000"/>
          <w:sz w:val="24"/>
          <w:szCs w:val="24"/>
          <w:lang w:eastAsia="en-GB"/>
        </w:rPr>
        <w:t xml:space="preserve"> (Guidance for running risk workshops can be found in the HO Project Delivery Framework)</w:t>
      </w:r>
    </w:p>
    <w:p w:rsidR="00671898" w:rsidRPr="0009147C" w:rsidRDefault="00671898" w:rsidP="00671898">
      <w:pPr>
        <w:pStyle w:val="Tablebullet"/>
        <w:numPr>
          <w:ilvl w:val="0"/>
          <w:numId w:val="18"/>
        </w:numPr>
        <w:rPr>
          <w:rFonts w:eastAsia="Times New Roman"/>
          <w:color w:val="000000"/>
          <w:sz w:val="24"/>
          <w:szCs w:val="24"/>
          <w:lang w:eastAsia="en-GB"/>
        </w:rPr>
      </w:pPr>
      <w:r w:rsidRPr="0009147C">
        <w:rPr>
          <w:rFonts w:eastAsia="Times New Roman"/>
          <w:color w:val="000000"/>
          <w:sz w:val="24"/>
          <w:szCs w:val="24"/>
          <w:lang w:eastAsia="en-GB"/>
        </w:rPr>
        <w:t xml:space="preserve">Lessons learnt </w:t>
      </w:r>
    </w:p>
    <w:p w:rsidR="00671898" w:rsidRPr="0009147C" w:rsidRDefault="00671898" w:rsidP="00671898">
      <w:pPr>
        <w:pStyle w:val="Tablebullet"/>
        <w:numPr>
          <w:ilvl w:val="0"/>
          <w:numId w:val="18"/>
        </w:numPr>
        <w:rPr>
          <w:rFonts w:eastAsia="Times New Roman"/>
          <w:color w:val="000000"/>
          <w:sz w:val="24"/>
          <w:szCs w:val="24"/>
          <w:lang w:eastAsia="en-GB"/>
        </w:rPr>
      </w:pPr>
      <w:r w:rsidRPr="0009147C">
        <w:rPr>
          <w:rFonts w:eastAsia="Times New Roman"/>
          <w:color w:val="000000"/>
          <w:sz w:val="24"/>
          <w:szCs w:val="24"/>
          <w:lang w:eastAsia="en-GB"/>
        </w:rPr>
        <w:t>Progress reports and governance board meetings</w:t>
      </w:r>
    </w:p>
    <w:p w:rsidR="00671898" w:rsidRPr="0009147C" w:rsidRDefault="00671898" w:rsidP="00671898">
      <w:pPr>
        <w:pStyle w:val="Tablebullet"/>
        <w:numPr>
          <w:ilvl w:val="0"/>
          <w:numId w:val="18"/>
        </w:numPr>
        <w:rPr>
          <w:rFonts w:eastAsia="Times New Roman"/>
          <w:color w:val="000000"/>
          <w:sz w:val="24"/>
          <w:szCs w:val="24"/>
          <w:lang w:eastAsia="en-GB"/>
        </w:rPr>
      </w:pPr>
      <w:r w:rsidRPr="0009147C">
        <w:rPr>
          <w:rFonts w:eastAsia="Times New Roman"/>
          <w:color w:val="000000"/>
          <w:sz w:val="24"/>
          <w:szCs w:val="24"/>
          <w:lang w:eastAsia="en-GB"/>
        </w:rPr>
        <w:t>Ad-hoc identification by Programme Team Member / Stakeholder</w:t>
      </w:r>
    </w:p>
    <w:p w:rsidR="00671898" w:rsidRDefault="00671898" w:rsidP="00671898">
      <w:pPr>
        <w:jc w:val="both"/>
        <w:rPr>
          <w:rFonts w:cs="Arial"/>
          <w:i/>
        </w:rPr>
      </w:pPr>
    </w:p>
    <w:p w:rsidR="00671898" w:rsidRPr="000022BD" w:rsidRDefault="00671898" w:rsidP="00671898">
      <w:pPr>
        <w:jc w:val="both"/>
        <w:rPr>
          <w:rFonts w:cs="Arial"/>
          <w:i/>
        </w:rPr>
      </w:pPr>
    </w:p>
    <w:p w:rsidR="00671898" w:rsidRPr="000022BD" w:rsidRDefault="00671898" w:rsidP="00671898">
      <w:pPr>
        <w:pStyle w:val="Heading1"/>
      </w:pPr>
      <w:bookmarkStart w:id="14" w:name="_Toc505032457"/>
      <w:bookmarkStart w:id="15" w:name="_Toc520884377"/>
      <w:r w:rsidRPr="000022BD">
        <w:lastRenderedPageBreak/>
        <w:t>Benefits Management Interface</w:t>
      </w:r>
      <w:bookmarkEnd w:id="14"/>
      <w:bookmarkEnd w:id="15"/>
    </w:p>
    <w:p w:rsidR="00EF085C" w:rsidRDefault="00EF085C" w:rsidP="00FA5AB6">
      <w:pPr>
        <w:pStyle w:val="BodyText"/>
        <w:rPr>
          <w:i/>
        </w:rPr>
      </w:pPr>
    </w:p>
    <w:p w:rsidR="00671898" w:rsidRDefault="00671898" w:rsidP="00FA5AB6">
      <w:pPr>
        <w:pStyle w:val="BodyText"/>
        <w:rPr>
          <w:i/>
        </w:rPr>
      </w:pPr>
      <w:r w:rsidRPr="000022BD">
        <w:rPr>
          <w:i/>
        </w:rPr>
        <w:t>[Explain the interface to the benefits management arrangements]</w:t>
      </w:r>
    </w:p>
    <w:p w:rsidR="008409B2" w:rsidRPr="001C6AA3" w:rsidRDefault="008409B2" w:rsidP="008409B2">
      <w:pPr>
        <w:pStyle w:val="BodyText"/>
      </w:pPr>
      <w:r w:rsidRPr="009B1557">
        <w:t>Start text here.</w:t>
      </w:r>
    </w:p>
    <w:p w:rsidR="008409B2" w:rsidRDefault="008409B2" w:rsidP="00FA5AB6">
      <w:pPr>
        <w:pStyle w:val="BodyText"/>
        <w:rPr>
          <w:i/>
        </w:rPr>
      </w:pPr>
    </w:p>
    <w:p w:rsidR="00671898" w:rsidRPr="000022BD" w:rsidRDefault="00671898" w:rsidP="00671898">
      <w:pPr>
        <w:jc w:val="both"/>
        <w:rPr>
          <w:rFonts w:cs="Arial"/>
          <w:i/>
        </w:rPr>
      </w:pPr>
    </w:p>
    <w:p w:rsidR="00671898" w:rsidRDefault="00671898" w:rsidP="00671898">
      <w:pPr>
        <w:jc w:val="both"/>
        <w:rPr>
          <w:rFonts w:cs="Arial"/>
        </w:rPr>
      </w:pPr>
    </w:p>
    <w:p w:rsidR="00671898" w:rsidRPr="000022BD" w:rsidRDefault="00671898" w:rsidP="006A1666">
      <w:pPr>
        <w:pStyle w:val="Heading1"/>
      </w:pPr>
      <w:bookmarkStart w:id="16" w:name="_Toc505032458"/>
      <w:bookmarkStart w:id="17" w:name="_Toc520884378"/>
      <w:r w:rsidRPr="000022BD">
        <w:lastRenderedPageBreak/>
        <w:t>Early warning indicators</w:t>
      </w:r>
      <w:bookmarkEnd w:id="16"/>
      <w:bookmarkEnd w:id="17"/>
    </w:p>
    <w:p w:rsidR="00671898" w:rsidRDefault="00671898" w:rsidP="00FA5AB6">
      <w:pPr>
        <w:pStyle w:val="BodyText"/>
      </w:pPr>
    </w:p>
    <w:p w:rsidR="00671898" w:rsidRDefault="00671898" w:rsidP="00FA5AB6">
      <w:pPr>
        <w:pStyle w:val="BodyText"/>
      </w:pPr>
      <w:r>
        <w:t>Particular attention will be paid to:</w:t>
      </w:r>
    </w:p>
    <w:p w:rsidR="00671898" w:rsidRPr="000022BD" w:rsidRDefault="00671898" w:rsidP="00652A96">
      <w:pPr>
        <w:pStyle w:val="ListBullet"/>
      </w:pPr>
      <w:r w:rsidRPr="000022BD">
        <w:t>Requests to change key programme information</w:t>
      </w:r>
    </w:p>
    <w:p w:rsidR="00671898" w:rsidRPr="000022BD" w:rsidRDefault="00671898" w:rsidP="00652A96">
      <w:pPr>
        <w:pStyle w:val="ListBullet"/>
      </w:pPr>
      <w:r w:rsidRPr="000022BD">
        <w:t>Reduction or delays in the delivery of expected/planned benefits on time and on budget</w:t>
      </w:r>
    </w:p>
    <w:p w:rsidR="00671898" w:rsidRPr="000022BD" w:rsidRDefault="00671898" w:rsidP="00652A96">
      <w:pPr>
        <w:pStyle w:val="ListBullet"/>
      </w:pPr>
      <w:r w:rsidRPr="000022BD">
        <w:t xml:space="preserve">Increase in the level of </w:t>
      </w:r>
      <w:hyperlink r:id="rId27" w:history="1">
        <w:r w:rsidRPr="000022BD">
          <w:t>aggregated risk</w:t>
        </w:r>
      </w:hyperlink>
      <w:r w:rsidRPr="000022BD">
        <w:t xml:space="preserve"> resulting from project and operational risks</w:t>
      </w:r>
    </w:p>
    <w:p w:rsidR="00671898" w:rsidRPr="000022BD" w:rsidRDefault="00671898" w:rsidP="00652A96">
      <w:pPr>
        <w:pStyle w:val="ListBullet"/>
      </w:pPr>
      <w:r w:rsidRPr="000022BD">
        <w:t>Changes to organizational structures</w:t>
      </w:r>
    </w:p>
    <w:p w:rsidR="00671898" w:rsidRPr="000022BD" w:rsidRDefault="00671898" w:rsidP="00652A96">
      <w:pPr>
        <w:pStyle w:val="ListBullet"/>
      </w:pPr>
      <w:r w:rsidRPr="000022BD">
        <w:t>Changes to services or products</w:t>
      </w:r>
    </w:p>
    <w:p w:rsidR="00671898" w:rsidRPr="000022BD" w:rsidRDefault="00671898" w:rsidP="00652A96">
      <w:pPr>
        <w:pStyle w:val="ListBullet"/>
      </w:pPr>
      <w:r w:rsidRPr="000022BD">
        <w:t>Changes to processes.</w:t>
      </w:r>
    </w:p>
    <w:p w:rsidR="00671898" w:rsidRDefault="00671898" w:rsidP="00671898">
      <w:pPr>
        <w:jc w:val="both"/>
        <w:rPr>
          <w:rFonts w:cs="Arial"/>
        </w:rPr>
      </w:pPr>
    </w:p>
    <w:p w:rsidR="00671898" w:rsidRPr="000022BD" w:rsidRDefault="00671898" w:rsidP="006A1666">
      <w:pPr>
        <w:pStyle w:val="Heading1"/>
      </w:pPr>
      <w:bookmarkStart w:id="18" w:name="_Toc505032459"/>
      <w:bookmarkStart w:id="19" w:name="_Toc520884379"/>
      <w:r w:rsidRPr="000022BD">
        <w:lastRenderedPageBreak/>
        <w:t>Risk management activities and escalation</w:t>
      </w:r>
      <w:bookmarkEnd w:id="18"/>
      <w:bookmarkEnd w:id="19"/>
    </w:p>
    <w:p w:rsidR="00671898" w:rsidRDefault="00671898" w:rsidP="00671898">
      <w:pPr>
        <w:jc w:val="both"/>
        <w:rPr>
          <w:rFonts w:cs="Arial"/>
        </w:rPr>
      </w:pPr>
    </w:p>
    <w:p w:rsidR="00671898" w:rsidRDefault="00671898" w:rsidP="006A1666">
      <w:pPr>
        <w:pStyle w:val="BodyText"/>
        <w:rPr>
          <w:i/>
        </w:rPr>
      </w:pPr>
      <w:r w:rsidRPr="00EF085C">
        <w:rPr>
          <w:i/>
        </w:rPr>
        <w:t xml:space="preserve">[Detail risk management activities – </w:t>
      </w:r>
      <w:r w:rsidR="00EF085C" w:rsidRPr="00EF085C">
        <w:rPr>
          <w:i/>
        </w:rPr>
        <w:t>at least</w:t>
      </w:r>
      <w:r w:rsidRPr="00EF085C">
        <w:rPr>
          <w:i/>
        </w:rPr>
        <w:t xml:space="preserve"> monthly reviews at programme board level]</w:t>
      </w:r>
    </w:p>
    <w:p w:rsidR="008409B2" w:rsidRPr="008409B2" w:rsidRDefault="008409B2" w:rsidP="006A1666">
      <w:pPr>
        <w:pStyle w:val="BodyText"/>
      </w:pPr>
      <w:r w:rsidRPr="009B1557">
        <w:t>Start text here.</w:t>
      </w:r>
    </w:p>
    <w:p w:rsidR="00671898" w:rsidRPr="0009147C" w:rsidRDefault="00671898" w:rsidP="006A1666">
      <w:pPr>
        <w:pStyle w:val="BodyText"/>
        <w:rPr>
          <w:rFonts w:eastAsiaTheme="minorHAnsi"/>
          <w:color w:val="000000"/>
        </w:rPr>
      </w:pPr>
      <w:r w:rsidRPr="0009147C">
        <w:rPr>
          <w:rFonts w:eastAsiaTheme="minorHAnsi"/>
          <w:color w:val="000000"/>
        </w:rPr>
        <w:t xml:space="preserve">As a guideline the following reasons are valid for escalating risks: </w:t>
      </w:r>
    </w:p>
    <w:p w:rsidR="00671898" w:rsidRPr="0009147C" w:rsidRDefault="00671898" w:rsidP="006A1666">
      <w:pPr>
        <w:pStyle w:val="ListBullet"/>
      </w:pPr>
      <w:r w:rsidRPr="0009147C">
        <w:rPr>
          <w:b/>
        </w:rPr>
        <w:t>Ability to Manage</w:t>
      </w:r>
      <w:r>
        <w:t xml:space="preserve"> R</w:t>
      </w:r>
      <w:r w:rsidRPr="0009147C">
        <w:t>isk cannot be owned or managed at the current level</w:t>
      </w:r>
    </w:p>
    <w:p w:rsidR="00671898" w:rsidRPr="0009147C" w:rsidRDefault="00671898" w:rsidP="006A1666">
      <w:pPr>
        <w:pStyle w:val="ListBullet"/>
      </w:pPr>
      <w:r w:rsidRPr="0009147C">
        <w:rPr>
          <w:b/>
        </w:rPr>
        <w:t>Conflict Resolution</w:t>
      </w:r>
      <w:r w:rsidRPr="0009147C">
        <w:t xml:space="preserve"> </w:t>
      </w:r>
      <w:r>
        <w:t xml:space="preserve"> I</w:t>
      </w:r>
      <w:r w:rsidRPr="0009147C">
        <w:t>f there is a disagreement the risk may be escalated to resolve disagreement over who is responsible to resolve, to deal with slow or non-progress of mitigation by another party, or resolve disagreement over ownership</w:t>
      </w:r>
    </w:p>
    <w:p w:rsidR="00671898" w:rsidRPr="0009147C" w:rsidRDefault="00671898" w:rsidP="006A1666">
      <w:pPr>
        <w:pStyle w:val="ListBullet"/>
      </w:pPr>
      <w:r w:rsidRPr="0009147C">
        <w:rPr>
          <w:b/>
        </w:rPr>
        <w:t>Awareness</w:t>
      </w:r>
      <w:r>
        <w:t xml:space="preserve"> </w:t>
      </w:r>
      <w:r w:rsidRPr="0009147C">
        <w:t xml:space="preserve"> The next level need to be made aware of the risk because of the urgency to mitigate the; risk, size or range of impacts, in order to flag assumptions or higher management visibility in considered prudent</w:t>
      </w:r>
    </w:p>
    <w:p w:rsidR="00671898" w:rsidRDefault="00671898" w:rsidP="006A1666">
      <w:pPr>
        <w:pStyle w:val="ListBullet"/>
      </w:pPr>
      <w:r w:rsidRPr="0009147C">
        <w:rPr>
          <w:b/>
        </w:rPr>
        <w:t>Commonality</w:t>
      </w:r>
      <w:r>
        <w:t xml:space="preserve"> T</w:t>
      </w:r>
      <w:r w:rsidRPr="0009147C">
        <w:t>hose risks which are common across mult</w:t>
      </w:r>
      <w:r w:rsidR="002335F3">
        <w:t>iple projects or Risk logs</w:t>
      </w:r>
    </w:p>
    <w:p w:rsidR="00671898" w:rsidRPr="0009147C" w:rsidRDefault="00671898" w:rsidP="006A1666">
      <w:pPr>
        <w:pStyle w:val="BodyText"/>
        <w:rPr>
          <w:rFonts w:eastAsiaTheme="minorHAnsi"/>
        </w:rPr>
      </w:pPr>
      <w:r>
        <w:rPr>
          <w:rFonts w:eastAsiaTheme="minorHAnsi"/>
        </w:rPr>
        <w:t>The decision to escalate should be made at programme board level.</w:t>
      </w:r>
    </w:p>
    <w:p w:rsidR="00FC247C" w:rsidRPr="000022BD" w:rsidRDefault="00FC247C" w:rsidP="00FC247C">
      <w:pPr>
        <w:pStyle w:val="Heading1"/>
      </w:pPr>
      <w:bookmarkStart w:id="20" w:name="_Toc505032460"/>
      <w:bookmarkStart w:id="21" w:name="_Toc520884380"/>
      <w:r w:rsidRPr="000022BD">
        <w:lastRenderedPageBreak/>
        <w:t>Information flows</w:t>
      </w:r>
      <w:bookmarkEnd w:id="20"/>
      <w:bookmarkEnd w:id="21"/>
    </w:p>
    <w:p w:rsidR="00FC247C" w:rsidRDefault="00FC247C" w:rsidP="00FC247C">
      <w:pPr>
        <w:jc w:val="both"/>
        <w:rPr>
          <w:rFonts w:cs="Arial"/>
        </w:rPr>
      </w:pPr>
    </w:p>
    <w:p w:rsidR="00FC247C" w:rsidRPr="00EE20A4" w:rsidRDefault="00FC247C" w:rsidP="00FC247C">
      <w:pPr>
        <w:pStyle w:val="BodyText"/>
        <w:rPr>
          <w:i/>
        </w:rPr>
      </w:pPr>
      <w:r w:rsidRPr="00EE20A4">
        <w:rPr>
          <w:i/>
        </w:rPr>
        <w:t>[Detail risk reporting and escalation.  Include the need to report programme risks up the business as usual line. It’s important to be clear the type and frequency of the flows of information in the risk process. This should include:</w:t>
      </w:r>
    </w:p>
    <w:p w:rsidR="00FC247C" w:rsidRPr="00EE20A4" w:rsidRDefault="00FC247C" w:rsidP="00FC247C">
      <w:pPr>
        <w:pStyle w:val="Bodycopy"/>
        <w:rPr>
          <w:i/>
        </w:rPr>
      </w:pPr>
    </w:p>
    <w:p w:rsidR="00FC247C" w:rsidRPr="00EE20A4" w:rsidRDefault="00FC247C" w:rsidP="00FC247C">
      <w:pPr>
        <w:pStyle w:val="ListBullet"/>
        <w:rPr>
          <w:i/>
        </w:rPr>
      </w:pPr>
      <w:r w:rsidRPr="00EE20A4">
        <w:rPr>
          <w:i/>
        </w:rPr>
        <w:t>The process and frequency that risks will be reported to the risk manager.</w:t>
      </w:r>
    </w:p>
    <w:p w:rsidR="00FC247C" w:rsidRPr="00EE20A4" w:rsidRDefault="002335F3" w:rsidP="00FC247C">
      <w:pPr>
        <w:pStyle w:val="ListBullet"/>
        <w:rPr>
          <w:i/>
        </w:rPr>
      </w:pPr>
      <w:r>
        <w:rPr>
          <w:i/>
        </w:rPr>
        <w:t>Sharing of risk log</w:t>
      </w:r>
      <w:r w:rsidR="00FC247C" w:rsidRPr="00EE20A4">
        <w:rPr>
          <w:i/>
        </w:rPr>
        <w:t>s with PPD on a monthly basis</w:t>
      </w:r>
    </w:p>
    <w:p w:rsidR="00FC247C" w:rsidRPr="00EE20A4" w:rsidRDefault="00FC247C" w:rsidP="00FC247C">
      <w:pPr>
        <w:pStyle w:val="ListBullet"/>
        <w:rPr>
          <w:i/>
        </w:rPr>
      </w:pPr>
      <w:r w:rsidRPr="00EE20A4">
        <w:rPr>
          <w:i/>
        </w:rPr>
        <w:t>Any reports that will be produced. Their regularity and their purpose.</w:t>
      </w:r>
    </w:p>
    <w:p w:rsidR="008409B2" w:rsidRDefault="00FC247C" w:rsidP="008409B2">
      <w:pPr>
        <w:pStyle w:val="ListBullet"/>
        <w:tabs>
          <w:tab w:val="clear" w:pos="454"/>
        </w:tabs>
        <w:rPr>
          <w:i/>
        </w:rPr>
      </w:pPr>
      <w:r w:rsidRPr="00EE20A4">
        <w:rPr>
          <w:i/>
        </w:rPr>
        <w:t>The flow of information in and out from the risk manager as well as clear escalation routes.]</w:t>
      </w:r>
    </w:p>
    <w:p w:rsidR="008409B2" w:rsidRPr="008409B2" w:rsidRDefault="008409B2" w:rsidP="008409B2">
      <w:pPr>
        <w:pStyle w:val="ListBullet"/>
        <w:numPr>
          <w:ilvl w:val="0"/>
          <w:numId w:val="0"/>
        </w:numPr>
        <w:rPr>
          <w:i/>
        </w:rPr>
      </w:pPr>
      <w:r w:rsidRPr="009B1557">
        <w:t>Start text here.</w:t>
      </w:r>
    </w:p>
    <w:p w:rsidR="008409B2" w:rsidRPr="00EE20A4" w:rsidRDefault="008409B2" w:rsidP="008409B2">
      <w:pPr>
        <w:pStyle w:val="ListBullet"/>
        <w:numPr>
          <w:ilvl w:val="0"/>
          <w:numId w:val="0"/>
        </w:numPr>
        <w:ind w:left="454"/>
        <w:rPr>
          <w:i/>
        </w:rPr>
      </w:pPr>
    </w:p>
    <w:p w:rsidR="00FC247C" w:rsidRDefault="00FC247C" w:rsidP="00FC247C">
      <w:pPr>
        <w:pStyle w:val="Heading2"/>
        <w:numPr>
          <w:ilvl w:val="1"/>
          <w:numId w:val="0"/>
        </w:numPr>
        <w:overflowPunct w:val="0"/>
        <w:autoSpaceDE w:val="0"/>
        <w:autoSpaceDN w:val="0"/>
        <w:adjustRightInd w:val="0"/>
        <w:spacing w:before="120" w:after="120"/>
        <w:textAlignment w:val="baseline"/>
        <w:rPr>
          <w:b w:val="0"/>
          <w:bCs/>
          <w:i/>
          <w:color w:val="auto"/>
          <w:sz w:val="24"/>
          <w:szCs w:val="24"/>
        </w:rPr>
      </w:pPr>
      <w:bookmarkStart w:id="22" w:name="_Toc496708917"/>
    </w:p>
    <w:p w:rsidR="00FC247C" w:rsidRPr="000022BD" w:rsidRDefault="00FC247C" w:rsidP="00FC247C">
      <w:pPr>
        <w:pStyle w:val="Heading1"/>
      </w:pPr>
      <w:bookmarkStart w:id="23" w:name="_Toc505032461"/>
      <w:bookmarkStart w:id="24" w:name="_Toc520884381"/>
      <w:r w:rsidRPr="000022BD">
        <w:lastRenderedPageBreak/>
        <w:t>Review of Risk</w:t>
      </w:r>
      <w:bookmarkEnd w:id="23"/>
      <w:bookmarkEnd w:id="24"/>
      <w:r w:rsidRPr="000022BD">
        <w:t xml:space="preserve"> </w:t>
      </w:r>
      <w:bookmarkEnd w:id="22"/>
      <w:r w:rsidRPr="000022BD">
        <w:t xml:space="preserve"> </w:t>
      </w:r>
    </w:p>
    <w:p w:rsidR="00FC247C" w:rsidRPr="00EA26E2" w:rsidRDefault="00FC247C" w:rsidP="00FC247C">
      <w:pPr>
        <w:rPr>
          <w:rFonts w:cs="Arial"/>
        </w:rPr>
      </w:pPr>
    </w:p>
    <w:p w:rsidR="00FC247C" w:rsidRDefault="00FC247C" w:rsidP="00FC247C">
      <w:pPr>
        <w:pStyle w:val="BodyText"/>
      </w:pPr>
      <w:r>
        <w:t>Risk will be reviewed monthly with attention being paid to:</w:t>
      </w:r>
    </w:p>
    <w:p w:rsidR="00FC247C" w:rsidRDefault="00FC247C" w:rsidP="00FC247C">
      <w:pPr>
        <w:rPr>
          <w:rFonts w:cs="Arial"/>
        </w:rPr>
      </w:pPr>
    </w:p>
    <w:p w:rsidR="00FC247C" w:rsidRPr="00627787" w:rsidRDefault="00FC247C" w:rsidP="00FC247C">
      <w:pPr>
        <w:pStyle w:val="ListBullet"/>
      </w:pPr>
      <w:r w:rsidRPr="00627787">
        <w:t xml:space="preserve">Ensuring each risk / opportunity has a dedicated </w:t>
      </w:r>
      <w:r>
        <w:t>o</w:t>
      </w:r>
      <w:r w:rsidRPr="00627787">
        <w:t>wner</w:t>
      </w:r>
    </w:p>
    <w:p w:rsidR="00FC247C" w:rsidRPr="00627787" w:rsidRDefault="00FC247C" w:rsidP="00FC247C">
      <w:pPr>
        <w:pStyle w:val="ListBullet"/>
      </w:pPr>
      <w:r w:rsidRPr="00627787">
        <w:t>Identifying response plans with agreed owners and dates</w:t>
      </w:r>
    </w:p>
    <w:p w:rsidR="00FC247C" w:rsidRPr="00627787" w:rsidRDefault="00FC247C" w:rsidP="00FC247C">
      <w:pPr>
        <w:pStyle w:val="ListBullet"/>
      </w:pPr>
      <w:r w:rsidRPr="00627787">
        <w:t>Verifying that response plans are current and being progressed</w:t>
      </w:r>
    </w:p>
    <w:p w:rsidR="00FC247C" w:rsidRPr="00627787" w:rsidRDefault="00FC247C" w:rsidP="00FC247C">
      <w:pPr>
        <w:pStyle w:val="ListBullet"/>
      </w:pPr>
      <w:r w:rsidRPr="00627787">
        <w:t>Validating fallback plans and associated trigger dates</w:t>
      </w:r>
      <w:r>
        <w:t xml:space="preserve"> (risk target dates)</w:t>
      </w:r>
    </w:p>
    <w:p w:rsidR="00FC247C" w:rsidRPr="00627787" w:rsidRDefault="00FC247C" w:rsidP="00FC247C">
      <w:pPr>
        <w:pStyle w:val="ListBullet"/>
      </w:pPr>
      <w:r w:rsidRPr="00627787">
        <w:t>Reviewin</w:t>
      </w:r>
      <w:r>
        <w:t>g / validating escalated risks and</w:t>
      </w:r>
      <w:r w:rsidRPr="00627787">
        <w:t xml:space="preserve"> opportunities</w:t>
      </w:r>
    </w:p>
    <w:p w:rsidR="00FC247C" w:rsidRDefault="002335F3" w:rsidP="00FC247C">
      <w:pPr>
        <w:pStyle w:val="ListBullet"/>
      </w:pPr>
      <w:r>
        <w:t>Ensuring the Risk log</w:t>
      </w:r>
      <w:r w:rsidR="00FC247C" w:rsidRPr="00627787">
        <w:t xml:space="preserve"> is populated with all appropriate risks / opportunities</w:t>
      </w:r>
    </w:p>
    <w:p w:rsidR="00FC247C" w:rsidRPr="00EA26E2" w:rsidRDefault="00FC247C" w:rsidP="00FC247C">
      <w:pPr>
        <w:rPr>
          <w:rFonts w:cs="Arial"/>
        </w:rPr>
      </w:pPr>
    </w:p>
    <w:p w:rsidR="00FC247C" w:rsidRPr="00EA26E2" w:rsidRDefault="00FC247C" w:rsidP="00FC247C">
      <w:pPr>
        <w:pStyle w:val="BodyText"/>
      </w:pPr>
      <w:r w:rsidRPr="00EA26E2">
        <w:t xml:space="preserve">Reviewing a risk will include an assessment of the overall status of the risk. A risk will be closed if either: </w:t>
      </w:r>
    </w:p>
    <w:p w:rsidR="00FC247C" w:rsidRPr="00EA26E2" w:rsidRDefault="00FC247C" w:rsidP="00FC247C">
      <w:pPr>
        <w:jc w:val="both"/>
        <w:rPr>
          <w:rFonts w:cs="Arial"/>
        </w:rPr>
      </w:pPr>
    </w:p>
    <w:p w:rsidR="00FC247C" w:rsidRPr="000022BD" w:rsidRDefault="00FC247C" w:rsidP="00FC247C">
      <w:pPr>
        <w:pStyle w:val="ListBullet"/>
      </w:pPr>
      <w:r w:rsidRPr="000022BD">
        <w:t xml:space="preserve">The risk can no longer occur, or is deemed to have no impact if it does materialise.  This may be due to the time period where the risk could impact expiring; response actions successfully reducing the likelihood to 0% or all impacts to nil; or a change in the </w:t>
      </w:r>
      <w:r>
        <w:t xml:space="preserve">programme </w:t>
      </w:r>
      <w:r w:rsidRPr="000022BD">
        <w:t xml:space="preserve">resulting in it no longer being relevant; and </w:t>
      </w:r>
    </w:p>
    <w:p w:rsidR="00FC247C" w:rsidRPr="000022BD" w:rsidRDefault="00FC247C" w:rsidP="00FC247C">
      <w:pPr>
        <w:pStyle w:val="ListBullet"/>
      </w:pPr>
      <w:r w:rsidRPr="000022BD">
        <w:t>The risk has impacted or the likelihood of the risk occurring has increased to the extent that it should be treated as an issue. In both instances the risk wil</w:t>
      </w:r>
      <w:r w:rsidR="002335F3">
        <w:t>l be closed on the Risk log</w:t>
      </w:r>
      <w:r w:rsidRPr="000022BD">
        <w:t xml:space="preserve"> and transferred to the Issue </w:t>
      </w:r>
      <w:r w:rsidR="002335F3">
        <w:t>log</w:t>
      </w:r>
      <w:r w:rsidRPr="000022BD">
        <w:t xml:space="preserve"> where it will continue to be managed. </w:t>
      </w:r>
    </w:p>
    <w:p w:rsidR="00FC247C" w:rsidRDefault="00FC247C" w:rsidP="00FC247C">
      <w:pPr>
        <w:pStyle w:val="Heading2"/>
        <w:spacing w:before="0"/>
        <w:rPr>
          <w:sz w:val="24"/>
          <w:szCs w:val="24"/>
        </w:rPr>
      </w:pPr>
    </w:p>
    <w:p w:rsidR="00F04E01" w:rsidRDefault="00F04E01" w:rsidP="00F04E01">
      <w:pPr>
        <w:pStyle w:val="BodyText"/>
      </w:pPr>
    </w:p>
    <w:p w:rsidR="00F04E01" w:rsidRDefault="00F04E01" w:rsidP="00F04E01">
      <w:pPr>
        <w:pStyle w:val="BodyText"/>
      </w:pPr>
    </w:p>
    <w:p w:rsidR="00813B69" w:rsidRDefault="00813B69" w:rsidP="00F04E01">
      <w:pPr>
        <w:pStyle w:val="BodyText"/>
      </w:pPr>
    </w:p>
    <w:p w:rsidR="00F04E01" w:rsidRPr="00F04E01" w:rsidRDefault="00F04E01" w:rsidP="00F04E01">
      <w:pPr>
        <w:pStyle w:val="BodyText"/>
      </w:pPr>
    </w:p>
    <w:p w:rsidR="001261A1" w:rsidRPr="007F1F56" w:rsidRDefault="00EE20A4" w:rsidP="00813B69">
      <w:pPr>
        <w:pStyle w:val="Heading2"/>
      </w:pPr>
      <w:bookmarkStart w:id="25" w:name="_Toc520884382"/>
      <w:bookmarkStart w:id="26" w:name="_Toc457556533"/>
      <w:r w:rsidRPr="007F1F56">
        <w:lastRenderedPageBreak/>
        <w:t>Annex A – RAID Log</w:t>
      </w:r>
      <w:bookmarkEnd w:id="25"/>
    </w:p>
    <w:bookmarkStart w:id="27" w:name="_Toc517097275"/>
    <w:bookmarkStart w:id="28" w:name="_Toc520884383"/>
    <w:bookmarkEnd w:id="27"/>
    <w:bookmarkEnd w:id="28"/>
    <w:bookmarkStart w:id="29" w:name="_MON_1594549793"/>
    <w:bookmarkEnd w:id="29"/>
    <w:p w:rsidR="00EE20A4" w:rsidRDefault="003301F1" w:rsidP="00BD6519">
      <w:pPr>
        <w:pStyle w:val="Heading2"/>
      </w:pPr>
      <w:r>
        <w:object w:dxaOrig="1534" w:dyaOrig="993">
          <v:shape id="_x0000_i1026" type="#_x0000_t75" style="width:76.5pt;height:49.5pt" o:ole="">
            <v:imagedata r:id="rId15" o:title=""/>
          </v:shape>
          <o:OLEObject Type="Embed" ProgID="Excel.SheetMacroEnabled.12" ShapeID="_x0000_i1026" DrawAspect="Icon" ObjectID="_1594643666" r:id="rId28"/>
        </w:object>
      </w:r>
    </w:p>
    <w:p w:rsidR="00813B69" w:rsidRDefault="00813B69" w:rsidP="00813B69">
      <w:pPr>
        <w:pStyle w:val="Heading3"/>
      </w:pPr>
      <w:r>
        <w:t>Risk</w:t>
      </w:r>
    </w:p>
    <w:p w:rsidR="00813B69" w:rsidRPr="00F04E01" w:rsidRDefault="00813B69" w:rsidP="00813B69">
      <w:pPr>
        <w:pStyle w:val="BodyText"/>
      </w:pPr>
      <w:r w:rsidRPr="00F04E01">
        <w:rPr>
          <w:shd w:val="clear" w:color="auto" w:fill="FFFFFF"/>
        </w:rPr>
        <w:t>A risk is any specific event which might occur and thus have a negative impact on your project or program. Each risk wil</w:t>
      </w:r>
      <w:r>
        <w:rPr>
          <w:shd w:val="clear" w:color="auto" w:fill="FFFFFF"/>
        </w:rPr>
        <w:t>l have an associated likelihood</w:t>
      </w:r>
      <w:r w:rsidRPr="00F04E01">
        <w:rPr>
          <w:shd w:val="clear" w:color="auto" w:fill="FFFFFF"/>
        </w:rPr>
        <w:t xml:space="preserve"> of occurrence along with an impact on your project if it does materialize.</w:t>
      </w:r>
      <w:r w:rsidRPr="00F04E01">
        <w:rPr>
          <w:rStyle w:val="apple-converted-space"/>
          <w:szCs w:val="27"/>
          <w:shd w:val="clear" w:color="auto" w:fill="FFFFFF"/>
        </w:rPr>
        <w:t> </w:t>
      </w:r>
    </w:p>
    <w:p w:rsidR="00813B69" w:rsidRDefault="00813B69" w:rsidP="00813B69">
      <w:pPr>
        <w:pStyle w:val="Heading3"/>
      </w:pPr>
      <w:r>
        <w:t>Actions</w:t>
      </w:r>
    </w:p>
    <w:p w:rsidR="00813B69" w:rsidRDefault="00813B69" w:rsidP="00813B69">
      <w:pPr>
        <w:pStyle w:val="NormalWeb"/>
        <w:shd w:val="clear" w:color="auto" w:fill="FFFFFF"/>
        <w:spacing w:after="402" w:line="360" w:lineRule="atLeast"/>
        <w:rPr>
          <w:rFonts w:ascii="Arial" w:hAnsi="Arial" w:cs="Arial"/>
        </w:rPr>
      </w:pPr>
      <w:r w:rsidRPr="007E140D">
        <w:rPr>
          <w:rFonts w:ascii="Arial" w:hAnsi="Arial" w:cs="Arial"/>
        </w:rPr>
        <w:t>The actions, whatever they are, need to be charted. That is noted the date they are completed. During project meetings, refer to this list and check off those actions that have been completed to make sure there’s been follow through.</w:t>
      </w:r>
    </w:p>
    <w:p w:rsidR="00813B69" w:rsidRPr="007E140D" w:rsidRDefault="00813B69" w:rsidP="00813B69">
      <w:pPr>
        <w:pStyle w:val="NormalWeb"/>
        <w:shd w:val="clear" w:color="auto" w:fill="FFFFFF"/>
        <w:spacing w:after="402" w:line="360" w:lineRule="atLeast"/>
        <w:rPr>
          <w:rFonts w:ascii="Arial" w:hAnsi="Arial" w:cs="Arial"/>
        </w:rPr>
      </w:pPr>
      <w:r>
        <w:rPr>
          <w:rFonts w:ascii="Arial" w:hAnsi="Arial" w:cs="Arial"/>
        </w:rPr>
        <w:t xml:space="preserve">Actions require an owner. </w:t>
      </w:r>
      <w:r w:rsidRPr="007E140D">
        <w:rPr>
          <w:rFonts w:ascii="Arial" w:hAnsi="Arial" w:cs="Arial"/>
        </w:rPr>
        <w:t>Having an owner makes sure that the action is managed and will not fall through the cracks of a busy project.</w:t>
      </w:r>
    </w:p>
    <w:p w:rsidR="00813B69" w:rsidRDefault="00813B69" w:rsidP="00813B69">
      <w:pPr>
        <w:pStyle w:val="Heading3"/>
      </w:pPr>
      <w:r w:rsidRPr="000022BD">
        <w:t xml:space="preserve">Issues </w:t>
      </w:r>
    </w:p>
    <w:p w:rsidR="00813B69" w:rsidRPr="0009147C" w:rsidRDefault="00813B69" w:rsidP="00813B69">
      <w:pPr>
        <w:pStyle w:val="Bodycopy"/>
      </w:pPr>
    </w:p>
    <w:p w:rsidR="00813B69" w:rsidRDefault="00813B69" w:rsidP="00813B69">
      <w:pPr>
        <w:pStyle w:val="BodyText"/>
      </w:pPr>
      <w:r>
        <w:rPr>
          <w:shd w:val="clear" w:color="auto" w:fill="FFFFFF"/>
        </w:rPr>
        <w:t>An issue is anything which arises on your project which you have to deal with in order to ensure your project runs smoothly</w:t>
      </w:r>
      <w:r>
        <w:t>. A</w:t>
      </w:r>
      <w:r w:rsidRPr="00EA26E2">
        <w:t>n issue is a risk that has materialised</w:t>
      </w:r>
      <w:r>
        <w:t>, unlike risks which might turn into issues in the future.</w:t>
      </w:r>
      <w:r w:rsidRPr="00EA26E2">
        <w:t xml:space="preserve"> </w:t>
      </w:r>
      <w:r>
        <w:t>Details of such risks should be transferred to the Issue management tab of the RAID log.</w:t>
      </w:r>
    </w:p>
    <w:p w:rsidR="00813B69" w:rsidRDefault="00813B69" w:rsidP="00813B69">
      <w:pPr>
        <w:pStyle w:val="Heading3"/>
      </w:pPr>
      <w:r>
        <w:t>Decisions</w:t>
      </w:r>
    </w:p>
    <w:p w:rsidR="00813B69" w:rsidRPr="007E140D" w:rsidRDefault="00813B69" w:rsidP="00813B69">
      <w:pPr>
        <w:pStyle w:val="NormalWeb"/>
        <w:shd w:val="clear" w:color="auto" w:fill="FFFFFF"/>
        <w:spacing w:after="402" w:line="360" w:lineRule="atLeast"/>
        <w:rPr>
          <w:rFonts w:ascii="Arial" w:hAnsi="Arial" w:cs="Arial"/>
        </w:rPr>
      </w:pPr>
      <w:r>
        <w:rPr>
          <w:rFonts w:ascii="Arial" w:hAnsi="Arial" w:cs="Arial"/>
        </w:rPr>
        <w:t>T</w:t>
      </w:r>
      <w:r w:rsidRPr="007E140D">
        <w:rPr>
          <w:rFonts w:ascii="Arial" w:hAnsi="Arial" w:cs="Arial"/>
        </w:rPr>
        <w:t xml:space="preserve">his is a list of decisions that need to be made over the course of the project. </w:t>
      </w:r>
      <w:r>
        <w:rPr>
          <w:rFonts w:ascii="Arial" w:hAnsi="Arial" w:cs="Arial"/>
        </w:rPr>
        <w:t xml:space="preserve">It is </w:t>
      </w:r>
      <w:r w:rsidRPr="007E140D">
        <w:rPr>
          <w:rFonts w:ascii="Arial" w:hAnsi="Arial" w:cs="Arial"/>
        </w:rPr>
        <w:t>a way to collect the thought process of the project, a record of what decisions were made, who made them and why.</w:t>
      </w:r>
      <w:r>
        <w:rPr>
          <w:rFonts w:ascii="Arial" w:hAnsi="Arial" w:cs="Arial"/>
        </w:rPr>
        <w:t xml:space="preserve"> </w:t>
      </w:r>
    </w:p>
    <w:p w:rsidR="00813B69" w:rsidRDefault="00813B69" w:rsidP="00813B69">
      <w:pPr>
        <w:pStyle w:val="Heading3"/>
      </w:pPr>
      <w:r>
        <w:t>Assumptions</w:t>
      </w:r>
    </w:p>
    <w:p w:rsidR="00813B69" w:rsidRPr="007E140D" w:rsidRDefault="00813B69" w:rsidP="00813B69">
      <w:pPr>
        <w:pStyle w:val="BodyText"/>
      </w:pPr>
      <w:r w:rsidRPr="007E140D">
        <w:rPr>
          <w:shd w:val="clear" w:color="auto" w:fill="FFFFFF"/>
        </w:rPr>
        <w:t>An assumption is something we set as true to enable us to proceed with our project or program. Typically this happens during the planning and estimation phase of the project. As an example of an assumption, during the early planning phase, we might assume that we have access to 10 skilled specialists throughout the duration of the project. By making this assumption it enables us to produce our plan. If this assumption turns out to be false then the p</w:t>
      </w:r>
      <w:r>
        <w:rPr>
          <w:shd w:val="clear" w:color="auto" w:fill="FFFFFF"/>
        </w:rPr>
        <w:t>roject is negatively impacted, b</w:t>
      </w:r>
      <w:r w:rsidRPr="007E140D">
        <w:rPr>
          <w:shd w:val="clear" w:color="auto" w:fill="FFFFFF"/>
        </w:rPr>
        <w:t>ecause assumptions can turn out to be false and impact you</w:t>
      </w:r>
      <w:r>
        <w:rPr>
          <w:shd w:val="clear" w:color="auto" w:fill="FFFFFF"/>
        </w:rPr>
        <w:t>r project adversely.</w:t>
      </w:r>
    </w:p>
    <w:p w:rsidR="00813B69" w:rsidRPr="00813B69" w:rsidRDefault="00813B69" w:rsidP="00813B69">
      <w:pPr>
        <w:pStyle w:val="BodyText"/>
        <w:sectPr w:rsidR="00813B69" w:rsidRPr="00813B69" w:rsidSect="00503F03">
          <w:headerReference w:type="even" r:id="rId29"/>
          <w:headerReference w:type="default" r:id="rId30"/>
          <w:footerReference w:type="even" r:id="rId31"/>
          <w:footerReference w:type="default" r:id="rId32"/>
          <w:pgSz w:w="11906" w:h="16838" w:code="9"/>
          <w:pgMar w:top="567" w:right="851" w:bottom="227" w:left="851" w:header="567" w:footer="567" w:gutter="0"/>
          <w:pgNumType w:start="1"/>
          <w:cols w:space="708"/>
          <w:docGrid w:linePitch="360"/>
        </w:sectPr>
      </w:pPr>
    </w:p>
    <w:p w:rsidR="001261A1" w:rsidRPr="007F1F56" w:rsidRDefault="00EE20A4" w:rsidP="00F04E01">
      <w:pPr>
        <w:pStyle w:val="Heading2"/>
      </w:pPr>
      <w:bookmarkStart w:id="30" w:name="_/Annex_B_–"/>
      <w:bookmarkEnd w:id="30"/>
      <w:r w:rsidRPr="007F1F56">
        <w:rPr>
          <w:noProof/>
        </w:rPr>
        <w:lastRenderedPageBreak/>
        <w:drawing>
          <wp:anchor distT="0" distB="0" distL="114300" distR="114300" simplePos="0" relativeHeight="251661824" behindDoc="0" locked="0" layoutInCell="1" allowOverlap="1">
            <wp:simplePos x="0" y="0"/>
            <wp:positionH relativeFrom="column">
              <wp:posOffset>-539750</wp:posOffset>
            </wp:positionH>
            <wp:positionV relativeFrom="paragraph">
              <wp:posOffset>420370</wp:posOffset>
            </wp:positionV>
            <wp:extent cx="9618345" cy="6416675"/>
            <wp:effectExtent l="19050" t="0" r="1905" b="0"/>
            <wp:wrapThrough wrapText="bothSides">
              <wp:wrapPolygon edited="0">
                <wp:start x="-43" y="0"/>
                <wp:lineTo x="-43" y="21547"/>
                <wp:lineTo x="21604" y="21547"/>
                <wp:lineTo x="21604" y="0"/>
                <wp:lineTo x="-43" y="0"/>
              </wp:wrapPolygon>
            </wp:wrapThrough>
            <wp:docPr id="5" name="Picture 1" descr="Home Office 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Office Risk Matrix"/>
                    <pic:cNvPicPr>
                      <a:picLocks noChangeAspect="1" noChangeArrowheads="1"/>
                    </pic:cNvPicPr>
                  </pic:nvPicPr>
                  <pic:blipFill>
                    <a:blip r:embed="rId33" cstate="print"/>
                    <a:srcRect l="44566" t="33333" r="32851" b="28951"/>
                    <a:stretch>
                      <a:fillRect/>
                    </a:stretch>
                  </pic:blipFill>
                  <pic:spPr bwMode="auto">
                    <a:xfrm>
                      <a:off x="0" y="0"/>
                      <a:ext cx="9618345" cy="6416675"/>
                    </a:xfrm>
                    <a:prstGeom prst="rect">
                      <a:avLst/>
                    </a:prstGeom>
                    <a:noFill/>
                    <a:ln w="9525">
                      <a:noFill/>
                      <a:miter lim="800000"/>
                      <a:headEnd/>
                      <a:tailEnd/>
                    </a:ln>
                  </pic:spPr>
                </pic:pic>
              </a:graphicData>
            </a:graphic>
          </wp:anchor>
        </w:drawing>
      </w:r>
      <w:bookmarkStart w:id="31" w:name="_Toc520884384"/>
      <w:r w:rsidRPr="007F1F56">
        <w:t>Annex B – Risk Severity</w:t>
      </w:r>
      <w:bookmarkEnd w:id="31"/>
    </w:p>
    <w:p w:rsidR="00EE20A4" w:rsidRDefault="00EE20A4" w:rsidP="00EE20A4">
      <w:pPr>
        <w:pStyle w:val="Heading2"/>
        <w:sectPr w:rsidR="00EE20A4" w:rsidSect="00503F03">
          <w:pgSz w:w="16838" w:h="11906" w:orient="landscape" w:code="9"/>
          <w:pgMar w:top="1134" w:right="851" w:bottom="1134" w:left="1134" w:header="567" w:footer="567" w:gutter="0"/>
          <w:cols w:space="708"/>
          <w:docGrid w:linePitch="360"/>
        </w:sectPr>
      </w:pPr>
    </w:p>
    <w:p w:rsidR="00F04E01" w:rsidRPr="00F04E01" w:rsidRDefault="00EE20A4" w:rsidP="00F04E01">
      <w:pPr>
        <w:pStyle w:val="Heading2"/>
        <w:rPr>
          <w:color w:val="auto"/>
        </w:rPr>
      </w:pPr>
      <w:bookmarkStart w:id="32" w:name="_Annex_C_-"/>
      <w:bookmarkStart w:id="33" w:name="_Toc520884385"/>
      <w:bookmarkEnd w:id="32"/>
      <w:r w:rsidRPr="00F04E01">
        <w:lastRenderedPageBreak/>
        <w:t>Annex C</w:t>
      </w:r>
      <w:r w:rsidR="007F1F56" w:rsidRPr="00F04E01">
        <w:t xml:space="preserve"> - Impact &amp; Likelihood rating scales</w:t>
      </w:r>
      <w:bookmarkEnd w:id="33"/>
      <w:r w:rsidR="00F04E01" w:rsidRPr="00F04E01">
        <w:rPr>
          <w:color w:val="auto"/>
        </w:rPr>
        <w:t xml:space="preserve"> </w:t>
      </w:r>
    </w:p>
    <w:p w:rsidR="001261A1" w:rsidRPr="00F04E01" w:rsidRDefault="00F04E01" w:rsidP="00F04E01">
      <w:pPr>
        <w:pStyle w:val="Heading3"/>
        <w:rPr>
          <w:sz w:val="52"/>
          <w:szCs w:val="52"/>
        </w:rPr>
      </w:pPr>
      <w:r w:rsidRPr="00F04E01">
        <w:rPr>
          <w:color w:val="auto"/>
        </w:rPr>
        <w:t>Likelihood scales</w:t>
      </w:r>
    </w:p>
    <w:tbl>
      <w:tblPr>
        <w:tblpPr w:leftFromText="180" w:rightFromText="180" w:vertAnchor="text" w:horzAnchor="margin" w:tblpXSpec="center" w:tblpY="5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260"/>
        <w:gridCol w:w="5528"/>
      </w:tblGrid>
      <w:tr w:rsidR="00F04E01" w:rsidRPr="00D544C8" w:rsidTr="00F04E01">
        <w:trPr>
          <w:trHeight w:val="803"/>
        </w:trPr>
        <w:tc>
          <w:tcPr>
            <w:tcW w:w="2127" w:type="dxa"/>
          </w:tcPr>
          <w:p w:rsidR="00F04E01" w:rsidRPr="000022BD" w:rsidRDefault="00F04E01" w:rsidP="00F04E01">
            <w:pPr>
              <w:autoSpaceDE w:val="0"/>
              <w:autoSpaceDN w:val="0"/>
              <w:adjustRightInd w:val="0"/>
              <w:rPr>
                <w:rFonts w:cs="Arial"/>
              </w:rPr>
            </w:pPr>
            <w:bookmarkStart w:id="34" w:name="_Toc490826772"/>
            <w:bookmarkStart w:id="35" w:name="_Toc505032466"/>
            <w:r w:rsidRPr="000022BD">
              <w:rPr>
                <w:rFonts w:cs="Arial"/>
                <w:b/>
                <w:bCs/>
              </w:rPr>
              <w:t xml:space="preserve">RATING </w:t>
            </w:r>
          </w:p>
        </w:tc>
        <w:tc>
          <w:tcPr>
            <w:tcW w:w="3260" w:type="dxa"/>
          </w:tcPr>
          <w:p w:rsidR="00F04E01" w:rsidRPr="000022BD" w:rsidRDefault="00F04E01" w:rsidP="00F04E01">
            <w:pPr>
              <w:autoSpaceDE w:val="0"/>
              <w:autoSpaceDN w:val="0"/>
              <w:adjustRightInd w:val="0"/>
              <w:rPr>
                <w:rFonts w:cs="Arial"/>
              </w:rPr>
            </w:pPr>
            <w:r w:rsidRPr="000022BD">
              <w:rPr>
                <w:rFonts w:cs="Arial"/>
                <w:b/>
                <w:bCs/>
              </w:rPr>
              <w:t xml:space="preserve">LIKELIHOOD </w:t>
            </w:r>
          </w:p>
        </w:tc>
        <w:tc>
          <w:tcPr>
            <w:tcW w:w="5528" w:type="dxa"/>
          </w:tcPr>
          <w:p w:rsidR="00F04E01" w:rsidRPr="000022BD" w:rsidRDefault="00F04E01" w:rsidP="00F04E01">
            <w:pPr>
              <w:autoSpaceDE w:val="0"/>
              <w:autoSpaceDN w:val="0"/>
              <w:adjustRightInd w:val="0"/>
              <w:rPr>
                <w:rFonts w:cs="Arial"/>
              </w:rPr>
            </w:pPr>
            <w:r w:rsidRPr="000022BD">
              <w:rPr>
                <w:rFonts w:cs="Arial"/>
                <w:b/>
                <w:bCs/>
              </w:rPr>
              <w:t xml:space="preserve">DEFINITION </w:t>
            </w:r>
          </w:p>
        </w:tc>
      </w:tr>
      <w:tr w:rsidR="00F04E01" w:rsidRPr="00D544C8" w:rsidTr="00F04E01">
        <w:trPr>
          <w:trHeight w:val="1336"/>
        </w:trPr>
        <w:tc>
          <w:tcPr>
            <w:tcW w:w="2127" w:type="dxa"/>
          </w:tcPr>
          <w:p w:rsidR="00F04E01" w:rsidRPr="000022BD" w:rsidRDefault="00F04E01" w:rsidP="00F04E01">
            <w:pPr>
              <w:autoSpaceDE w:val="0"/>
              <w:autoSpaceDN w:val="0"/>
              <w:adjustRightInd w:val="0"/>
              <w:rPr>
                <w:rFonts w:cs="Arial"/>
                <w:bCs/>
              </w:rPr>
            </w:pPr>
            <w:r w:rsidRPr="000022BD">
              <w:rPr>
                <w:rFonts w:cs="Arial"/>
                <w:b/>
                <w:bCs/>
              </w:rPr>
              <w:t xml:space="preserve">VERY LIKELY </w:t>
            </w:r>
            <w:r w:rsidRPr="000022BD">
              <w:rPr>
                <w:rFonts w:cs="Arial"/>
                <w:bCs/>
              </w:rPr>
              <w:t xml:space="preserve">or </w:t>
            </w:r>
          </w:p>
          <w:p w:rsidR="00F04E01" w:rsidRPr="000022BD" w:rsidRDefault="00F04E01" w:rsidP="00F04E01">
            <w:pPr>
              <w:autoSpaceDE w:val="0"/>
              <w:autoSpaceDN w:val="0"/>
              <w:adjustRightInd w:val="0"/>
              <w:rPr>
                <w:rFonts w:cs="Arial"/>
                <w:bCs/>
              </w:rPr>
            </w:pPr>
          </w:p>
          <w:p w:rsidR="00F04E01" w:rsidRPr="000022BD" w:rsidRDefault="00F04E01" w:rsidP="00F04E01">
            <w:pPr>
              <w:autoSpaceDE w:val="0"/>
              <w:autoSpaceDN w:val="0"/>
              <w:adjustRightInd w:val="0"/>
              <w:rPr>
                <w:rFonts w:cs="Arial"/>
              </w:rPr>
            </w:pPr>
            <w:r w:rsidRPr="000022BD">
              <w:rPr>
                <w:rFonts w:cs="Arial"/>
                <w:bCs/>
              </w:rPr>
              <w:t xml:space="preserve">VERY HIGH </w:t>
            </w:r>
          </w:p>
        </w:tc>
        <w:tc>
          <w:tcPr>
            <w:tcW w:w="3260" w:type="dxa"/>
          </w:tcPr>
          <w:p w:rsidR="00F04E01" w:rsidRPr="000022BD" w:rsidRDefault="00F04E01" w:rsidP="00F04E01">
            <w:pPr>
              <w:autoSpaceDE w:val="0"/>
              <w:autoSpaceDN w:val="0"/>
              <w:adjustRightInd w:val="0"/>
              <w:rPr>
                <w:rFonts w:cs="Arial"/>
              </w:rPr>
            </w:pPr>
            <w:r w:rsidRPr="000022BD">
              <w:rPr>
                <w:rFonts w:cs="Arial"/>
              </w:rPr>
              <w:t xml:space="preserve">More than 80% chance of occurring. </w:t>
            </w:r>
          </w:p>
        </w:tc>
        <w:tc>
          <w:tcPr>
            <w:tcW w:w="5528" w:type="dxa"/>
          </w:tcPr>
          <w:p w:rsidR="00F04E01" w:rsidRPr="000022BD" w:rsidRDefault="00F04E01" w:rsidP="00F04E01">
            <w:pPr>
              <w:autoSpaceDE w:val="0"/>
              <w:autoSpaceDN w:val="0"/>
              <w:adjustRightInd w:val="0"/>
              <w:rPr>
                <w:rFonts w:cs="Arial"/>
              </w:rPr>
            </w:pPr>
            <w:r w:rsidRPr="000022BD">
              <w:rPr>
                <w:rFonts w:cs="Arial"/>
                <w:b/>
                <w:bCs/>
              </w:rPr>
              <w:t xml:space="preserve">Strategic </w:t>
            </w:r>
          </w:p>
          <w:p w:rsidR="00F04E01" w:rsidRPr="000022BD" w:rsidRDefault="00F04E01" w:rsidP="00F04E01">
            <w:pPr>
              <w:autoSpaceDE w:val="0"/>
              <w:autoSpaceDN w:val="0"/>
              <w:adjustRightInd w:val="0"/>
              <w:rPr>
                <w:rFonts w:cs="Arial"/>
              </w:rPr>
            </w:pPr>
            <w:r w:rsidRPr="000022BD">
              <w:rPr>
                <w:rFonts w:cs="Arial"/>
              </w:rPr>
              <w:t xml:space="preserve">‘Clear and present danger’ represented by this risk – will probably impact on this initiative – sooner rather than later. </w:t>
            </w:r>
          </w:p>
          <w:p w:rsidR="00F04E01" w:rsidRPr="000022BD" w:rsidRDefault="00F04E01" w:rsidP="00F04E01">
            <w:pPr>
              <w:autoSpaceDE w:val="0"/>
              <w:autoSpaceDN w:val="0"/>
              <w:adjustRightInd w:val="0"/>
              <w:rPr>
                <w:rFonts w:cs="Arial"/>
              </w:rPr>
            </w:pPr>
            <w:r w:rsidRPr="000022BD">
              <w:rPr>
                <w:rFonts w:cs="Arial"/>
                <w:b/>
                <w:bCs/>
              </w:rPr>
              <w:t xml:space="preserve">Programme/Project </w:t>
            </w:r>
          </w:p>
          <w:p w:rsidR="00F04E01" w:rsidRPr="000022BD" w:rsidRDefault="00F04E01" w:rsidP="00F04E01">
            <w:pPr>
              <w:autoSpaceDE w:val="0"/>
              <w:autoSpaceDN w:val="0"/>
              <w:adjustRightInd w:val="0"/>
              <w:rPr>
                <w:rFonts w:cs="Arial"/>
              </w:rPr>
            </w:pPr>
            <w:r w:rsidRPr="000022BD">
              <w:rPr>
                <w:rFonts w:cs="Arial"/>
              </w:rPr>
              <w:t xml:space="preserve">Is likely to happen in the life-cycle of the project, probably early on and, perhaps, more than once. </w:t>
            </w:r>
          </w:p>
          <w:p w:rsidR="00F04E01" w:rsidRPr="000022BD" w:rsidRDefault="00F04E01" w:rsidP="00F04E01">
            <w:pPr>
              <w:autoSpaceDE w:val="0"/>
              <w:autoSpaceDN w:val="0"/>
              <w:adjustRightInd w:val="0"/>
              <w:rPr>
                <w:rFonts w:cs="Arial"/>
              </w:rPr>
            </w:pPr>
            <w:r w:rsidRPr="000022BD">
              <w:rPr>
                <w:rFonts w:cs="Arial"/>
                <w:b/>
                <w:bCs/>
              </w:rPr>
              <w:t xml:space="preserve">Operational </w:t>
            </w:r>
          </w:p>
          <w:p w:rsidR="00F04E01" w:rsidRPr="000022BD" w:rsidRDefault="00F04E01" w:rsidP="00F04E01">
            <w:pPr>
              <w:autoSpaceDE w:val="0"/>
              <w:autoSpaceDN w:val="0"/>
              <w:adjustRightInd w:val="0"/>
              <w:rPr>
                <w:rFonts w:cs="Arial"/>
              </w:rPr>
            </w:pPr>
            <w:r w:rsidRPr="000022BD">
              <w:rPr>
                <w:rFonts w:cs="Arial"/>
              </w:rPr>
              <w:t xml:space="preserve">The threat is likely to happen almost every day. </w:t>
            </w:r>
          </w:p>
        </w:tc>
      </w:tr>
      <w:tr w:rsidR="00F04E01" w:rsidRPr="00D544C8" w:rsidTr="00F04E01">
        <w:trPr>
          <w:trHeight w:val="1201"/>
        </w:trPr>
        <w:tc>
          <w:tcPr>
            <w:tcW w:w="2127" w:type="dxa"/>
          </w:tcPr>
          <w:p w:rsidR="00F04E01" w:rsidRPr="000022BD" w:rsidRDefault="00F04E01" w:rsidP="00F04E01">
            <w:pPr>
              <w:autoSpaceDE w:val="0"/>
              <w:autoSpaceDN w:val="0"/>
              <w:adjustRightInd w:val="0"/>
              <w:rPr>
                <w:rFonts w:cs="Arial"/>
                <w:bCs/>
              </w:rPr>
            </w:pPr>
            <w:r w:rsidRPr="000022BD">
              <w:rPr>
                <w:rFonts w:cs="Arial"/>
                <w:b/>
                <w:bCs/>
              </w:rPr>
              <w:t xml:space="preserve">LIKELY </w:t>
            </w:r>
            <w:r w:rsidRPr="000022BD">
              <w:rPr>
                <w:rFonts w:cs="Arial"/>
                <w:bCs/>
              </w:rPr>
              <w:t xml:space="preserve">or </w:t>
            </w:r>
          </w:p>
          <w:p w:rsidR="00F04E01" w:rsidRPr="000022BD" w:rsidRDefault="00F04E01" w:rsidP="00F04E01">
            <w:pPr>
              <w:autoSpaceDE w:val="0"/>
              <w:autoSpaceDN w:val="0"/>
              <w:adjustRightInd w:val="0"/>
              <w:rPr>
                <w:rFonts w:cs="Arial"/>
                <w:bCs/>
              </w:rPr>
            </w:pPr>
          </w:p>
          <w:p w:rsidR="00F04E01" w:rsidRPr="000022BD" w:rsidRDefault="00F04E01" w:rsidP="00F04E01">
            <w:pPr>
              <w:autoSpaceDE w:val="0"/>
              <w:autoSpaceDN w:val="0"/>
              <w:adjustRightInd w:val="0"/>
              <w:rPr>
                <w:rFonts w:cs="Arial"/>
                <w:bCs/>
              </w:rPr>
            </w:pPr>
            <w:r w:rsidRPr="000022BD">
              <w:rPr>
                <w:rFonts w:cs="Arial"/>
                <w:bCs/>
              </w:rPr>
              <w:t xml:space="preserve">HIGH </w:t>
            </w:r>
          </w:p>
          <w:p w:rsidR="00F04E01" w:rsidRPr="000022BD" w:rsidRDefault="00F04E01" w:rsidP="00F04E01">
            <w:pPr>
              <w:autoSpaceDE w:val="0"/>
              <w:autoSpaceDN w:val="0"/>
              <w:adjustRightInd w:val="0"/>
              <w:rPr>
                <w:rFonts w:cs="Arial"/>
              </w:rPr>
            </w:pPr>
          </w:p>
        </w:tc>
        <w:tc>
          <w:tcPr>
            <w:tcW w:w="3260" w:type="dxa"/>
          </w:tcPr>
          <w:p w:rsidR="00F04E01" w:rsidRPr="000022BD" w:rsidRDefault="00F04E01" w:rsidP="00F04E01">
            <w:pPr>
              <w:autoSpaceDE w:val="0"/>
              <w:autoSpaceDN w:val="0"/>
              <w:adjustRightInd w:val="0"/>
              <w:rPr>
                <w:rFonts w:cs="Arial"/>
              </w:rPr>
            </w:pPr>
            <w:r w:rsidRPr="000022BD">
              <w:rPr>
                <w:rFonts w:cs="Arial"/>
              </w:rPr>
              <w:t xml:space="preserve">51 – 80% likelihood of risk materialising. </w:t>
            </w:r>
          </w:p>
        </w:tc>
        <w:tc>
          <w:tcPr>
            <w:tcW w:w="5528" w:type="dxa"/>
          </w:tcPr>
          <w:p w:rsidR="00F04E01" w:rsidRPr="000022BD" w:rsidRDefault="00F04E01" w:rsidP="00F04E01">
            <w:pPr>
              <w:autoSpaceDE w:val="0"/>
              <w:autoSpaceDN w:val="0"/>
              <w:adjustRightInd w:val="0"/>
              <w:rPr>
                <w:rFonts w:cs="Arial"/>
              </w:rPr>
            </w:pPr>
            <w:r w:rsidRPr="000022BD">
              <w:rPr>
                <w:rFonts w:cs="Arial"/>
                <w:b/>
                <w:bCs/>
              </w:rPr>
              <w:t xml:space="preserve">Strategic </w:t>
            </w:r>
          </w:p>
          <w:p w:rsidR="00F04E01" w:rsidRPr="000022BD" w:rsidRDefault="00F04E01" w:rsidP="00F04E01">
            <w:pPr>
              <w:autoSpaceDE w:val="0"/>
              <w:autoSpaceDN w:val="0"/>
              <w:adjustRightInd w:val="0"/>
              <w:rPr>
                <w:rFonts w:cs="Arial"/>
              </w:rPr>
            </w:pPr>
            <w:r w:rsidRPr="000022BD">
              <w:rPr>
                <w:rFonts w:cs="Arial"/>
              </w:rPr>
              <w:t xml:space="preserve">Likely to happen at some point during the next one to two years. </w:t>
            </w:r>
          </w:p>
          <w:p w:rsidR="00F04E01" w:rsidRPr="000022BD" w:rsidRDefault="00F04E01" w:rsidP="00F04E01">
            <w:pPr>
              <w:autoSpaceDE w:val="0"/>
              <w:autoSpaceDN w:val="0"/>
              <w:adjustRightInd w:val="0"/>
              <w:rPr>
                <w:rFonts w:cs="Arial"/>
              </w:rPr>
            </w:pPr>
            <w:r w:rsidRPr="000022BD">
              <w:rPr>
                <w:rFonts w:cs="Arial"/>
                <w:b/>
                <w:bCs/>
              </w:rPr>
              <w:t xml:space="preserve">Programme/Project </w:t>
            </w:r>
          </w:p>
          <w:p w:rsidR="00F04E01" w:rsidRPr="000022BD" w:rsidRDefault="00F04E01" w:rsidP="00F04E01">
            <w:pPr>
              <w:autoSpaceDE w:val="0"/>
              <w:autoSpaceDN w:val="0"/>
              <w:adjustRightInd w:val="0"/>
              <w:rPr>
                <w:rFonts w:cs="Arial"/>
              </w:rPr>
            </w:pPr>
            <w:r w:rsidRPr="000022BD">
              <w:rPr>
                <w:rFonts w:cs="Arial"/>
              </w:rPr>
              <w:t xml:space="preserve">Likely to happen in the life of the programme or project. </w:t>
            </w:r>
          </w:p>
          <w:p w:rsidR="00F04E01" w:rsidRPr="000022BD" w:rsidRDefault="00F04E01" w:rsidP="00F04E01">
            <w:pPr>
              <w:autoSpaceDE w:val="0"/>
              <w:autoSpaceDN w:val="0"/>
              <w:adjustRightInd w:val="0"/>
              <w:rPr>
                <w:rFonts w:cs="Arial"/>
              </w:rPr>
            </w:pPr>
            <w:r w:rsidRPr="000022BD">
              <w:rPr>
                <w:rFonts w:cs="Arial"/>
                <w:b/>
                <w:bCs/>
              </w:rPr>
              <w:t xml:space="preserve">Operational </w:t>
            </w:r>
          </w:p>
          <w:p w:rsidR="00F04E01" w:rsidRPr="000022BD" w:rsidRDefault="00F04E01" w:rsidP="00F04E01">
            <w:pPr>
              <w:autoSpaceDE w:val="0"/>
              <w:autoSpaceDN w:val="0"/>
              <w:adjustRightInd w:val="0"/>
              <w:rPr>
                <w:rFonts w:cs="Arial"/>
              </w:rPr>
            </w:pPr>
            <w:r w:rsidRPr="000022BD">
              <w:rPr>
                <w:rFonts w:cs="Arial"/>
              </w:rPr>
              <w:t xml:space="preserve">May well happen on a weekly basis. </w:t>
            </w:r>
          </w:p>
        </w:tc>
      </w:tr>
      <w:tr w:rsidR="00F04E01" w:rsidRPr="00D544C8" w:rsidTr="00F04E01">
        <w:trPr>
          <w:trHeight w:val="1065"/>
        </w:trPr>
        <w:tc>
          <w:tcPr>
            <w:tcW w:w="2127" w:type="dxa"/>
          </w:tcPr>
          <w:p w:rsidR="00F04E01" w:rsidRPr="000022BD" w:rsidRDefault="00F04E01" w:rsidP="00F04E01">
            <w:pPr>
              <w:autoSpaceDE w:val="0"/>
              <w:autoSpaceDN w:val="0"/>
              <w:adjustRightInd w:val="0"/>
              <w:rPr>
                <w:rFonts w:cs="Arial"/>
                <w:bCs/>
              </w:rPr>
            </w:pPr>
            <w:r w:rsidRPr="000022BD">
              <w:rPr>
                <w:rFonts w:cs="Arial"/>
                <w:b/>
                <w:bCs/>
              </w:rPr>
              <w:t xml:space="preserve">POSSIBLE </w:t>
            </w:r>
            <w:r w:rsidRPr="000022BD">
              <w:rPr>
                <w:rFonts w:cs="Arial"/>
                <w:bCs/>
              </w:rPr>
              <w:t xml:space="preserve">or </w:t>
            </w:r>
          </w:p>
          <w:p w:rsidR="00F04E01" w:rsidRPr="000022BD" w:rsidRDefault="00F04E01" w:rsidP="00F04E01">
            <w:pPr>
              <w:autoSpaceDE w:val="0"/>
              <w:autoSpaceDN w:val="0"/>
              <w:adjustRightInd w:val="0"/>
              <w:rPr>
                <w:rFonts w:cs="Arial"/>
                <w:bCs/>
              </w:rPr>
            </w:pPr>
          </w:p>
          <w:p w:rsidR="00F04E01" w:rsidRPr="000022BD" w:rsidRDefault="00F04E01" w:rsidP="00F04E01">
            <w:pPr>
              <w:autoSpaceDE w:val="0"/>
              <w:autoSpaceDN w:val="0"/>
              <w:adjustRightInd w:val="0"/>
              <w:rPr>
                <w:rFonts w:cs="Arial"/>
              </w:rPr>
            </w:pPr>
            <w:r w:rsidRPr="000022BD">
              <w:rPr>
                <w:rFonts w:cs="Arial"/>
                <w:bCs/>
              </w:rPr>
              <w:t xml:space="preserve">MEDIUM </w:t>
            </w:r>
          </w:p>
        </w:tc>
        <w:tc>
          <w:tcPr>
            <w:tcW w:w="3260" w:type="dxa"/>
          </w:tcPr>
          <w:p w:rsidR="00F04E01" w:rsidRPr="000022BD" w:rsidRDefault="00F04E01" w:rsidP="00F04E01">
            <w:pPr>
              <w:autoSpaceDE w:val="0"/>
              <w:autoSpaceDN w:val="0"/>
              <w:adjustRightInd w:val="0"/>
              <w:rPr>
                <w:rFonts w:cs="Arial"/>
              </w:rPr>
            </w:pPr>
            <w:r w:rsidRPr="000022BD">
              <w:rPr>
                <w:rFonts w:cs="Arial"/>
              </w:rPr>
              <w:t xml:space="preserve">21 – 50% chance of occurring. </w:t>
            </w:r>
          </w:p>
        </w:tc>
        <w:tc>
          <w:tcPr>
            <w:tcW w:w="5528" w:type="dxa"/>
          </w:tcPr>
          <w:p w:rsidR="00F04E01" w:rsidRPr="000022BD" w:rsidRDefault="00F04E01" w:rsidP="00F04E01">
            <w:pPr>
              <w:autoSpaceDE w:val="0"/>
              <w:autoSpaceDN w:val="0"/>
              <w:adjustRightInd w:val="0"/>
              <w:rPr>
                <w:rFonts w:cs="Arial"/>
              </w:rPr>
            </w:pPr>
            <w:r w:rsidRPr="000022BD">
              <w:rPr>
                <w:rFonts w:cs="Arial"/>
                <w:b/>
                <w:bCs/>
              </w:rPr>
              <w:t xml:space="preserve">Strategic </w:t>
            </w:r>
          </w:p>
          <w:p w:rsidR="00F04E01" w:rsidRPr="000022BD" w:rsidRDefault="00F04E01" w:rsidP="00F04E01">
            <w:pPr>
              <w:autoSpaceDE w:val="0"/>
              <w:autoSpaceDN w:val="0"/>
              <w:adjustRightInd w:val="0"/>
              <w:rPr>
                <w:rFonts w:cs="Arial"/>
              </w:rPr>
            </w:pPr>
            <w:r w:rsidRPr="000022BD">
              <w:rPr>
                <w:rFonts w:cs="Arial"/>
              </w:rPr>
              <w:t xml:space="preserve">May well occur during the lifetime of the strategy. </w:t>
            </w:r>
          </w:p>
          <w:p w:rsidR="00F04E01" w:rsidRPr="000022BD" w:rsidRDefault="00F04E01" w:rsidP="00F04E01">
            <w:pPr>
              <w:autoSpaceDE w:val="0"/>
              <w:autoSpaceDN w:val="0"/>
              <w:adjustRightInd w:val="0"/>
              <w:rPr>
                <w:rFonts w:cs="Arial"/>
              </w:rPr>
            </w:pPr>
            <w:r w:rsidRPr="000022BD">
              <w:rPr>
                <w:rFonts w:cs="Arial"/>
                <w:b/>
                <w:bCs/>
              </w:rPr>
              <w:t xml:space="preserve">Programme/Project </w:t>
            </w:r>
          </w:p>
          <w:p w:rsidR="00F04E01" w:rsidRPr="000022BD" w:rsidRDefault="00F04E01" w:rsidP="00F04E01">
            <w:pPr>
              <w:autoSpaceDE w:val="0"/>
              <w:autoSpaceDN w:val="0"/>
              <w:adjustRightInd w:val="0"/>
              <w:rPr>
                <w:rFonts w:cs="Arial"/>
              </w:rPr>
            </w:pPr>
            <w:r w:rsidRPr="000022BD">
              <w:rPr>
                <w:rFonts w:cs="Arial"/>
              </w:rPr>
              <w:t xml:space="preserve">May occur during the life of the programme or project. </w:t>
            </w:r>
          </w:p>
          <w:p w:rsidR="00F04E01" w:rsidRPr="000022BD" w:rsidRDefault="00F04E01" w:rsidP="00F04E01">
            <w:pPr>
              <w:autoSpaceDE w:val="0"/>
              <w:autoSpaceDN w:val="0"/>
              <w:adjustRightInd w:val="0"/>
              <w:rPr>
                <w:rFonts w:cs="Arial"/>
              </w:rPr>
            </w:pPr>
            <w:r w:rsidRPr="000022BD">
              <w:rPr>
                <w:rFonts w:cs="Arial"/>
                <w:b/>
                <w:bCs/>
              </w:rPr>
              <w:t xml:space="preserve">Operational </w:t>
            </w:r>
          </w:p>
          <w:p w:rsidR="00F04E01" w:rsidRPr="000022BD" w:rsidRDefault="00F04E01" w:rsidP="00F04E01">
            <w:pPr>
              <w:autoSpaceDE w:val="0"/>
              <w:autoSpaceDN w:val="0"/>
              <w:adjustRightInd w:val="0"/>
              <w:rPr>
                <w:rFonts w:cs="Arial"/>
              </w:rPr>
            </w:pPr>
            <w:r w:rsidRPr="000022BD">
              <w:rPr>
                <w:rFonts w:cs="Arial"/>
              </w:rPr>
              <w:t xml:space="preserve">May happen on a monthly basis. </w:t>
            </w:r>
          </w:p>
        </w:tc>
      </w:tr>
      <w:tr w:rsidR="00F04E01" w:rsidRPr="00D544C8" w:rsidTr="00F04E01">
        <w:trPr>
          <w:trHeight w:val="1201"/>
        </w:trPr>
        <w:tc>
          <w:tcPr>
            <w:tcW w:w="2127" w:type="dxa"/>
          </w:tcPr>
          <w:p w:rsidR="00F04E01" w:rsidRPr="000022BD" w:rsidRDefault="00F04E01" w:rsidP="00F04E01">
            <w:pPr>
              <w:autoSpaceDE w:val="0"/>
              <w:autoSpaceDN w:val="0"/>
              <w:adjustRightInd w:val="0"/>
              <w:rPr>
                <w:rFonts w:cs="Arial"/>
                <w:bCs/>
              </w:rPr>
            </w:pPr>
            <w:r w:rsidRPr="000022BD">
              <w:rPr>
                <w:rFonts w:cs="Arial"/>
                <w:b/>
                <w:bCs/>
              </w:rPr>
              <w:t xml:space="preserve">UNLIKELY </w:t>
            </w:r>
            <w:r w:rsidRPr="000022BD">
              <w:rPr>
                <w:rFonts w:cs="Arial"/>
                <w:bCs/>
              </w:rPr>
              <w:t>or</w:t>
            </w:r>
          </w:p>
          <w:p w:rsidR="00F04E01" w:rsidRPr="000022BD" w:rsidRDefault="00F04E01" w:rsidP="00F04E01">
            <w:pPr>
              <w:autoSpaceDE w:val="0"/>
              <w:autoSpaceDN w:val="0"/>
              <w:adjustRightInd w:val="0"/>
              <w:rPr>
                <w:rFonts w:cs="Arial"/>
                <w:bCs/>
              </w:rPr>
            </w:pPr>
          </w:p>
          <w:p w:rsidR="00F04E01" w:rsidRPr="000022BD" w:rsidRDefault="00F04E01" w:rsidP="00F04E01">
            <w:pPr>
              <w:autoSpaceDE w:val="0"/>
              <w:autoSpaceDN w:val="0"/>
              <w:adjustRightInd w:val="0"/>
              <w:rPr>
                <w:rFonts w:cs="Arial"/>
              </w:rPr>
            </w:pPr>
            <w:r w:rsidRPr="000022BD">
              <w:rPr>
                <w:rFonts w:cs="Arial"/>
                <w:bCs/>
              </w:rPr>
              <w:t xml:space="preserve">LOW </w:t>
            </w:r>
          </w:p>
          <w:p w:rsidR="00F04E01" w:rsidRPr="000022BD" w:rsidRDefault="00F04E01" w:rsidP="00F04E01">
            <w:pPr>
              <w:autoSpaceDE w:val="0"/>
              <w:autoSpaceDN w:val="0"/>
              <w:adjustRightInd w:val="0"/>
              <w:rPr>
                <w:rFonts w:cs="Arial"/>
              </w:rPr>
            </w:pPr>
          </w:p>
        </w:tc>
        <w:tc>
          <w:tcPr>
            <w:tcW w:w="3260" w:type="dxa"/>
          </w:tcPr>
          <w:p w:rsidR="00F04E01" w:rsidRPr="000022BD" w:rsidRDefault="00F04E01" w:rsidP="00F04E01">
            <w:pPr>
              <w:autoSpaceDE w:val="0"/>
              <w:autoSpaceDN w:val="0"/>
              <w:adjustRightInd w:val="0"/>
              <w:rPr>
                <w:rFonts w:cs="Arial"/>
              </w:rPr>
            </w:pPr>
            <w:r w:rsidRPr="000022BD">
              <w:rPr>
                <w:rFonts w:cs="Arial"/>
              </w:rPr>
              <w:t xml:space="preserve">6% - 20% chance of happening. </w:t>
            </w:r>
          </w:p>
        </w:tc>
        <w:tc>
          <w:tcPr>
            <w:tcW w:w="5528" w:type="dxa"/>
          </w:tcPr>
          <w:p w:rsidR="00F04E01" w:rsidRPr="000022BD" w:rsidRDefault="00F04E01" w:rsidP="00F04E01">
            <w:pPr>
              <w:autoSpaceDE w:val="0"/>
              <w:autoSpaceDN w:val="0"/>
              <w:adjustRightInd w:val="0"/>
              <w:rPr>
                <w:rFonts w:cs="Arial"/>
              </w:rPr>
            </w:pPr>
            <w:r w:rsidRPr="000022BD">
              <w:rPr>
                <w:rFonts w:cs="Arial"/>
                <w:b/>
                <w:bCs/>
              </w:rPr>
              <w:t xml:space="preserve">Strategic </w:t>
            </w:r>
          </w:p>
          <w:p w:rsidR="00F04E01" w:rsidRPr="000022BD" w:rsidRDefault="00F04E01" w:rsidP="00F04E01">
            <w:pPr>
              <w:autoSpaceDE w:val="0"/>
              <w:autoSpaceDN w:val="0"/>
              <w:adjustRightInd w:val="0"/>
              <w:rPr>
                <w:rFonts w:cs="Arial"/>
              </w:rPr>
            </w:pPr>
            <w:r w:rsidRPr="000022BD">
              <w:rPr>
                <w:rFonts w:cs="Arial"/>
              </w:rPr>
              <w:t xml:space="preserve">Only small chance of occurring in the lifetime of a strategy. </w:t>
            </w:r>
          </w:p>
          <w:p w:rsidR="00F04E01" w:rsidRPr="000022BD" w:rsidRDefault="00F04E01" w:rsidP="00F04E01">
            <w:pPr>
              <w:autoSpaceDE w:val="0"/>
              <w:autoSpaceDN w:val="0"/>
              <w:adjustRightInd w:val="0"/>
              <w:rPr>
                <w:rFonts w:cs="Arial"/>
              </w:rPr>
            </w:pPr>
            <w:r w:rsidRPr="000022BD">
              <w:rPr>
                <w:rFonts w:cs="Arial"/>
                <w:b/>
                <w:bCs/>
              </w:rPr>
              <w:t xml:space="preserve">Programme/Project </w:t>
            </w:r>
          </w:p>
          <w:p w:rsidR="00F04E01" w:rsidRPr="000022BD" w:rsidRDefault="00F04E01" w:rsidP="00F04E01">
            <w:pPr>
              <w:autoSpaceDE w:val="0"/>
              <w:autoSpaceDN w:val="0"/>
              <w:adjustRightInd w:val="0"/>
              <w:rPr>
                <w:rFonts w:cs="Arial"/>
              </w:rPr>
            </w:pPr>
            <w:r w:rsidRPr="000022BD">
              <w:rPr>
                <w:rFonts w:cs="Arial"/>
              </w:rPr>
              <w:t xml:space="preserve">Not likely to occur during the lifecycle of the project or programme. </w:t>
            </w:r>
          </w:p>
          <w:p w:rsidR="00F04E01" w:rsidRPr="000022BD" w:rsidRDefault="00F04E01" w:rsidP="00F04E01">
            <w:pPr>
              <w:autoSpaceDE w:val="0"/>
              <w:autoSpaceDN w:val="0"/>
              <w:adjustRightInd w:val="0"/>
              <w:rPr>
                <w:rFonts w:cs="Arial"/>
              </w:rPr>
            </w:pPr>
            <w:r w:rsidRPr="000022BD">
              <w:rPr>
                <w:rFonts w:cs="Arial"/>
                <w:b/>
                <w:bCs/>
              </w:rPr>
              <w:t xml:space="preserve">Operational </w:t>
            </w:r>
          </w:p>
          <w:p w:rsidR="00F04E01" w:rsidRPr="000022BD" w:rsidRDefault="00F04E01" w:rsidP="00F04E01">
            <w:pPr>
              <w:autoSpaceDE w:val="0"/>
              <w:autoSpaceDN w:val="0"/>
              <w:adjustRightInd w:val="0"/>
              <w:rPr>
                <w:rFonts w:cs="Arial"/>
              </w:rPr>
            </w:pPr>
            <w:r w:rsidRPr="000022BD">
              <w:rPr>
                <w:rFonts w:cs="Arial"/>
              </w:rPr>
              <w:t xml:space="preserve">Does not happen often – once every six months. </w:t>
            </w:r>
          </w:p>
        </w:tc>
      </w:tr>
      <w:tr w:rsidR="00F04E01" w:rsidRPr="00D544C8" w:rsidTr="00F04E01">
        <w:trPr>
          <w:trHeight w:val="520"/>
        </w:trPr>
        <w:tc>
          <w:tcPr>
            <w:tcW w:w="2127" w:type="dxa"/>
          </w:tcPr>
          <w:p w:rsidR="00F04E01" w:rsidRPr="000022BD" w:rsidRDefault="00F04E01" w:rsidP="00F04E01">
            <w:pPr>
              <w:autoSpaceDE w:val="0"/>
              <w:autoSpaceDN w:val="0"/>
              <w:adjustRightInd w:val="0"/>
              <w:rPr>
                <w:rFonts w:cs="Arial"/>
                <w:bCs/>
              </w:rPr>
            </w:pPr>
            <w:r w:rsidRPr="000022BD">
              <w:rPr>
                <w:rFonts w:cs="Arial"/>
                <w:b/>
                <w:bCs/>
              </w:rPr>
              <w:t xml:space="preserve">REMOTE </w:t>
            </w:r>
            <w:r w:rsidRPr="000022BD">
              <w:rPr>
                <w:rFonts w:cs="Arial"/>
                <w:bCs/>
              </w:rPr>
              <w:t>or</w:t>
            </w:r>
          </w:p>
          <w:p w:rsidR="00F04E01" w:rsidRPr="000022BD" w:rsidRDefault="00F04E01" w:rsidP="00F04E01">
            <w:pPr>
              <w:autoSpaceDE w:val="0"/>
              <w:autoSpaceDN w:val="0"/>
              <w:adjustRightInd w:val="0"/>
              <w:rPr>
                <w:rFonts w:cs="Arial"/>
                <w:b/>
                <w:bCs/>
              </w:rPr>
            </w:pPr>
          </w:p>
          <w:p w:rsidR="00F04E01" w:rsidRPr="000022BD" w:rsidRDefault="00F04E01" w:rsidP="00F04E01">
            <w:pPr>
              <w:autoSpaceDE w:val="0"/>
              <w:autoSpaceDN w:val="0"/>
              <w:adjustRightInd w:val="0"/>
              <w:rPr>
                <w:rFonts w:cs="Arial"/>
              </w:rPr>
            </w:pPr>
            <w:r w:rsidRPr="000022BD">
              <w:rPr>
                <w:rFonts w:cs="Arial"/>
                <w:bCs/>
              </w:rPr>
              <w:t xml:space="preserve">VERY LOW </w:t>
            </w:r>
          </w:p>
          <w:p w:rsidR="00F04E01" w:rsidRPr="000022BD" w:rsidRDefault="00F04E01" w:rsidP="00F04E01">
            <w:pPr>
              <w:autoSpaceDE w:val="0"/>
              <w:autoSpaceDN w:val="0"/>
              <w:adjustRightInd w:val="0"/>
              <w:rPr>
                <w:rFonts w:cs="Arial"/>
              </w:rPr>
            </w:pPr>
          </w:p>
        </w:tc>
        <w:tc>
          <w:tcPr>
            <w:tcW w:w="3260" w:type="dxa"/>
          </w:tcPr>
          <w:p w:rsidR="00F04E01" w:rsidRPr="000022BD" w:rsidRDefault="00F04E01" w:rsidP="00F04E01">
            <w:pPr>
              <w:autoSpaceDE w:val="0"/>
              <w:autoSpaceDN w:val="0"/>
              <w:adjustRightInd w:val="0"/>
              <w:rPr>
                <w:rFonts w:cs="Arial"/>
              </w:rPr>
            </w:pPr>
            <w:r w:rsidRPr="000022BD">
              <w:rPr>
                <w:rFonts w:cs="Arial"/>
              </w:rPr>
              <w:t xml:space="preserve">Less than 5% chance of the risk occurring. </w:t>
            </w:r>
          </w:p>
        </w:tc>
        <w:tc>
          <w:tcPr>
            <w:tcW w:w="5528" w:type="dxa"/>
          </w:tcPr>
          <w:p w:rsidR="00F04E01" w:rsidRPr="000022BD" w:rsidRDefault="00F04E01" w:rsidP="00F04E01">
            <w:pPr>
              <w:autoSpaceDE w:val="0"/>
              <w:autoSpaceDN w:val="0"/>
              <w:adjustRightInd w:val="0"/>
              <w:rPr>
                <w:rFonts w:cs="Arial"/>
              </w:rPr>
            </w:pPr>
            <w:r w:rsidRPr="000022BD">
              <w:rPr>
                <w:rFonts w:cs="Arial"/>
              </w:rPr>
              <w:t xml:space="preserve">Extremely infrequent – unlikely to happen in a strategic environment or occur during a project or programmes lifecycle. May occur once a year or so in an operational environment. </w:t>
            </w:r>
          </w:p>
        </w:tc>
      </w:tr>
    </w:tbl>
    <w:p w:rsidR="001261A1" w:rsidRPr="00F04E01" w:rsidRDefault="00EE20A4" w:rsidP="00F04E01">
      <w:pPr>
        <w:pStyle w:val="Heading2"/>
      </w:pPr>
      <w:bookmarkStart w:id="36" w:name="_Annex_D_–"/>
      <w:bookmarkStart w:id="37" w:name="_Toc520884386"/>
      <w:bookmarkEnd w:id="34"/>
      <w:bookmarkEnd w:id="35"/>
      <w:bookmarkEnd w:id="36"/>
      <w:r w:rsidRPr="00F04E01">
        <w:lastRenderedPageBreak/>
        <w:t>Annex D</w:t>
      </w:r>
      <w:r w:rsidR="007F1F56" w:rsidRPr="00F04E01">
        <w:t xml:space="preserve"> – </w:t>
      </w:r>
      <w:r w:rsidR="002335F3" w:rsidRPr="00F04E01">
        <w:t>Project and Programme</w:t>
      </w:r>
      <w:r w:rsidR="007F1F56" w:rsidRPr="00F04E01">
        <w:t xml:space="preserve"> Impact Rating Scales</w:t>
      </w:r>
      <w:bookmarkEnd w:id="37"/>
    </w:p>
    <w:tbl>
      <w:tblPr>
        <w:tblStyle w:val="MediumGrid1-Accent4"/>
        <w:tblW w:w="11625"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19"/>
        <w:gridCol w:w="1984"/>
        <w:gridCol w:w="2552"/>
        <w:gridCol w:w="2126"/>
        <w:gridCol w:w="3544"/>
      </w:tblGrid>
      <w:tr w:rsidR="007F1F56" w:rsidRPr="00BF3D03" w:rsidTr="00B3282B">
        <w:trPr>
          <w:cnfStyle w:val="100000000000"/>
        </w:trPr>
        <w:tc>
          <w:tcPr>
            <w:cnfStyle w:val="001000000000"/>
            <w:tcW w:w="1419" w:type="dxa"/>
            <w:shd w:val="clear" w:color="auto" w:fill="auto"/>
          </w:tcPr>
          <w:p w:rsidR="007F1F56" w:rsidRPr="000022BD" w:rsidRDefault="007F1F56" w:rsidP="007F1F56">
            <w:pPr>
              <w:rPr>
                <w:sz w:val="22"/>
              </w:rPr>
            </w:pPr>
          </w:p>
          <w:p w:rsidR="007F1F56" w:rsidRPr="000022BD" w:rsidRDefault="007F1F56" w:rsidP="007F1F56">
            <w:pPr>
              <w:rPr>
                <w:sz w:val="22"/>
              </w:rPr>
            </w:pPr>
            <w:r w:rsidRPr="000022BD">
              <w:rPr>
                <w:sz w:val="22"/>
              </w:rPr>
              <w:t xml:space="preserve">RATING </w:t>
            </w:r>
          </w:p>
        </w:tc>
        <w:tc>
          <w:tcPr>
            <w:tcW w:w="1984" w:type="dxa"/>
            <w:shd w:val="clear" w:color="auto" w:fill="auto"/>
          </w:tcPr>
          <w:p w:rsidR="007F1F56" w:rsidRPr="000022BD" w:rsidRDefault="007F1F56" w:rsidP="007F1F56">
            <w:pPr>
              <w:cnfStyle w:val="100000000000"/>
              <w:rPr>
                <w:sz w:val="22"/>
              </w:rPr>
            </w:pPr>
            <w:r w:rsidRPr="000022BD">
              <w:rPr>
                <w:sz w:val="22"/>
              </w:rPr>
              <w:t xml:space="preserve">PUBLIC PROTECTION </w:t>
            </w:r>
          </w:p>
        </w:tc>
        <w:tc>
          <w:tcPr>
            <w:tcW w:w="2552" w:type="dxa"/>
            <w:shd w:val="clear" w:color="auto" w:fill="auto"/>
          </w:tcPr>
          <w:p w:rsidR="007F1F56" w:rsidRPr="000022BD" w:rsidRDefault="007F1F56" w:rsidP="007F1F56">
            <w:pPr>
              <w:cnfStyle w:val="100000000000"/>
              <w:rPr>
                <w:sz w:val="22"/>
              </w:rPr>
            </w:pPr>
            <w:r w:rsidRPr="000022BD">
              <w:rPr>
                <w:sz w:val="22"/>
              </w:rPr>
              <w:t xml:space="preserve">FINANCIAL </w:t>
            </w:r>
          </w:p>
        </w:tc>
        <w:tc>
          <w:tcPr>
            <w:tcW w:w="2126" w:type="dxa"/>
            <w:shd w:val="clear" w:color="auto" w:fill="auto"/>
          </w:tcPr>
          <w:p w:rsidR="007F1F56" w:rsidRPr="000022BD" w:rsidRDefault="007F1F56" w:rsidP="007F1F56">
            <w:pPr>
              <w:cnfStyle w:val="100000000000"/>
              <w:rPr>
                <w:sz w:val="22"/>
              </w:rPr>
            </w:pPr>
            <w:r w:rsidRPr="000022BD">
              <w:rPr>
                <w:sz w:val="22"/>
              </w:rPr>
              <w:t xml:space="preserve">REPUTATIONAL </w:t>
            </w:r>
          </w:p>
        </w:tc>
        <w:tc>
          <w:tcPr>
            <w:tcW w:w="3544" w:type="dxa"/>
            <w:shd w:val="clear" w:color="auto" w:fill="auto"/>
          </w:tcPr>
          <w:p w:rsidR="007F1F56" w:rsidRPr="000022BD" w:rsidRDefault="007F1F56" w:rsidP="007F1F56">
            <w:pPr>
              <w:cnfStyle w:val="100000000000"/>
              <w:rPr>
                <w:sz w:val="22"/>
              </w:rPr>
            </w:pPr>
            <w:r w:rsidRPr="000022BD">
              <w:rPr>
                <w:sz w:val="22"/>
              </w:rPr>
              <w:t xml:space="preserve">DELIVERY AND ACHIEVEMENT OF OBJECTIVES </w:t>
            </w:r>
          </w:p>
        </w:tc>
      </w:tr>
      <w:tr w:rsidR="007F1F56" w:rsidRPr="00BF3D03" w:rsidTr="00B3282B">
        <w:trPr>
          <w:cnfStyle w:val="000000100000"/>
        </w:trPr>
        <w:tc>
          <w:tcPr>
            <w:cnfStyle w:val="001000000000"/>
            <w:tcW w:w="1419" w:type="dxa"/>
            <w:shd w:val="clear" w:color="auto" w:fill="auto"/>
          </w:tcPr>
          <w:p w:rsidR="007F1F56" w:rsidRPr="000022BD" w:rsidRDefault="007F1F56" w:rsidP="007F1F56">
            <w:pPr>
              <w:rPr>
                <w:b w:val="0"/>
                <w:sz w:val="22"/>
              </w:rPr>
            </w:pPr>
            <w:r w:rsidRPr="000022BD">
              <w:rPr>
                <w:b w:val="0"/>
                <w:sz w:val="22"/>
              </w:rPr>
              <w:t xml:space="preserve">CRITICAL </w:t>
            </w:r>
          </w:p>
          <w:p w:rsidR="007F1F56" w:rsidRPr="000022BD" w:rsidRDefault="007F1F56" w:rsidP="007F1F56">
            <w:pPr>
              <w:rPr>
                <w:b w:val="0"/>
                <w:sz w:val="22"/>
              </w:rPr>
            </w:pPr>
          </w:p>
          <w:p w:rsidR="007F1F56" w:rsidRPr="000022BD" w:rsidRDefault="007F1F56" w:rsidP="007F1F56">
            <w:pPr>
              <w:rPr>
                <w:b w:val="0"/>
                <w:sz w:val="22"/>
              </w:rPr>
            </w:pPr>
            <w:r w:rsidRPr="000022BD">
              <w:rPr>
                <w:sz w:val="22"/>
              </w:rPr>
              <w:t>or</w:t>
            </w:r>
          </w:p>
          <w:p w:rsidR="007F1F56" w:rsidRPr="000022BD" w:rsidRDefault="007F1F56" w:rsidP="007F1F56">
            <w:pPr>
              <w:rPr>
                <w:b w:val="0"/>
                <w:sz w:val="22"/>
              </w:rPr>
            </w:pPr>
          </w:p>
          <w:p w:rsidR="007F1F56" w:rsidRPr="000022BD" w:rsidRDefault="007F1F56" w:rsidP="007F1F56">
            <w:pPr>
              <w:rPr>
                <w:sz w:val="22"/>
              </w:rPr>
            </w:pPr>
            <w:r w:rsidRPr="000022BD">
              <w:rPr>
                <w:sz w:val="22"/>
              </w:rPr>
              <w:t xml:space="preserve">VERY HIGH </w:t>
            </w:r>
          </w:p>
        </w:tc>
        <w:tc>
          <w:tcPr>
            <w:tcW w:w="1984" w:type="dxa"/>
            <w:shd w:val="clear" w:color="auto" w:fill="auto"/>
          </w:tcPr>
          <w:p w:rsidR="007F1F56" w:rsidRPr="000022BD" w:rsidRDefault="007F1F56" w:rsidP="007F1F56">
            <w:pPr>
              <w:cnfStyle w:val="000000100000"/>
              <w:rPr>
                <w:sz w:val="22"/>
              </w:rPr>
            </w:pPr>
            <w:r w:rsidRPr="000022BD">
              <w:rPr>
                <w:sz w:val="22"/>
              </w:rPr>
              <w:t xml:space="preserve">A systemic failure for which HO/HO agencies are ultimately responsible exposes the public to serious harm in cases when mitigation was expected. </w:t>
            </w:r>
          </w:p>
        </w:tc>
        <w:tc>
          <w:tcPr>
            <w:tcW w:w="2552" w:type="dxa"/>
            <w:shd w:val="clear" w:color="auto" w:fill="auto"/>
          </w:tcPr>
          <w:p w:rsidR="007F1F56" w:rsidRPr="000022BD" w:rsidRDefault="007F1F56" w:rsidP="007F1F56">
            <w:pPr>
              <w:cnfStyle w:val="000000100000"/>
              <w:rPr>
                <w:sz w:val="22"/>
              </w:rPr>
            </w:pPr>
            <w:r w:rsidRPr="000022BD">
              <w:rPr>
                <w:sz w:val="22"/>
              </w:rPr>
              <w:t xml:space="preserve">- Unfunded pressures greater than £25m. </w:t>
            </w:r>
          </w:p>
          <w:p w:rsidR="007F1F56" w:rsidRPr="000022BD" w:rsidRDefault="007F1F56" w:rsidP="007F1F56">
            <w:pPr>
              <w:cnfStyle w:val="000000100000"/>
              <w:rPr>
                <w:sz w:val="22"/>
              </w:rPr>
            </w:pPr>
            <w:r w:rsidRPr="000022BD">
              <w:rPr>
                <w:sz w:val="22"/>
              </w:rPr>
              <w:t xml:space="preserve">- Fraud, corruption and serious irregularity at ministerial/board level. </w:t>
            </w:r>
          </w:p>
        </w:tc>
        <w:tc>
          <w:tcPr>
            <w:tcW w:w="2126" w:type="dxa"/>
            <w:shd w:val="clear" w:color="auto" w:fill="auto"/>
          </w:tcPr>
          <w:p w:rsidR="007F1F56" w:rsidRPr="000022BD" w:rsidRDefault="007F1F56" w:rsidP="007F1F56">
            <w:pPr>
              <w:cnfStyle w:val="000000100000"/>
              <w:rPr>
                <w:sz w:val="22"/>
              </w:rPr>
            </w:pPr>
            <w:r w:rsidRPr="000022BD">
              <w:rPr>
                <w:sz w:val="22"/>
              </w:rPr>
              <w:t xml:space="preserve">Incompetence / maladministration or other event that will destroy public trust or a key relationship. </w:t>
            </w:r>
          </w:p>
        </w:tc>
        <w:tc>
          <w:tcPr>
            <w:tcW w:w="3544" w:type="dxa"/>
            <w:shd w:val="clear" w:color="auto" w:fill="auto"/>
          </w:tcPr>
          <w:p w:rsidR="007F1F56" w:rsidRPr="000022BD" w:rsidRDefault="007F1F56" w:rsidP="007F1F56">
            <w:pPr>
              <w:cnfStyle w:val="000000100000"/>
              <w:rPr>
                <w:sz w:val="22"/>
              </w:rPr>
            </w:pPr>
            <w:r w:rsidRPr="000022BD">
              <w:rPr>
                <w:sz w:val="22"/>
              </w:rPr>
              <w:t xml:space="preserve">Failure to deliver the majority of HO key objectives (Structural Reform Plan Actions + PM/Home Sec priorities + manifesto pledges/100 days). </w:t>
            </w:r>
          </w:p>
        </w:tc>
      </w:tr>
      <w:tr w:rsidR="007F1F56" w:rsidRPr="00BF3D03" w:rsidTr="00B3282B">
        <w:trPr>
          <w:trHeight w:val="2842"/>
        </w:trPr>
        <w:tc>
          <w:tcPr>
            <w:cnfStyle w:val="001000000000"/>
            <w:tcW w:w="1419" w:type="dxa"/>
            <w:shd w:val="clear" w:color="auto" w:fill="auto"/>
          </w:tcPr>
          <w:p w:rsidR="007F1F56" w:rsidRPr="000022BD" w:rsidRDefault="007F1F56" w:rsidP="007F1F56">
            <w:pPr>
              <w:rPr>
                <w:b w:val="0"/>
                <w:sz w:val="22"/>
              </w:rPr>
            </w:pPr>
            <w:r w:rsidRPr="000022BD">
              <w:rPr>
                <w:b w:val="0"/>
                <w:sz w:val="22"/>
              </w:rPr>
              <w:t xml:space="preserve">SIGNIFICANT </w:t>
            </w:r>
          </w:p>
          <w:p w:rsidR="007F1F56" w:rsidRPr="000022BD" w:rsidRDefault="007F1F56" w:rsidP="007F1F56">
            <w:pPr>
              <w:rPr>
                <w:b w:val="0"/>
                <w:sz w:val="22"/>
              </w:rPr>
            </w:pPr>
          </w:p>
          <w:p w:rsidR="007F1F56" w:rsidRPr="000022BD" w:rsidRDefault="007F1F56" w:rsidP="007F1F56">
            <w:pPr>
              <w:rPr>
                <w:b w:val="0"/>
                <w:sz w:val="22"/>
              </w:rPr>
            </w:pPr>
            <w:r w:rsidRPr="000022BD">
              <w:rPr>
                <w:sz w:val="22"/>
              </w:rPr>
              <w:t>or</w:t>
            </w:r>
          </w:p>
          <w:p w:rsidR="007F1F56" w:rsidRPr="000022BD" w:rsidRDefault="007F1F56" w:rsidP="007F1F56">
            <w:pPr>
              <w:rPr>
                <w:b w:val="0"/>
                <w:sz w:val="22"/>
              </w:rPr>
            </w:pPr>
          </w:p>
          <w:p w:rsidR="007F1F56" w:rsidRPr="000022BD" w:rsidRDefault="007F1F56" w:rsidP="007F1F56">
            <w:pPr>
              <w:rPr>
                <w:sz w:val="22"/>
              </w:rPr>
            </w:pPr>
            <w:r w:rsidRPr="000022BD">
              <w:rPr>
                <w:sz w:val="22"/>
              </w:rPr>
              <w:t xml:space="preserve">HIGH </w:t>
            </w:r>
          </w:p>
        </w:tc>
        <w:tc>
          <w:tcPr>
            <w:tcW w:w="1984" w:type="dxa"/>
            <w:shd w:val="clear" w:color="auto" w:fill="auto"/>
          </w:tcPr>
          <w:p w:rsidR="007F1F56" w:rsidRPr="000022BD" w:rsidRDefault="007F1F56" w:rsidP="007F1F56">
            <w:pPr>
              <w:cnfStyle w:val="000000000000"/>
              <w:rPr>
                <w:sz w:val="22"/>
              </w:rPr>
            </w:pPr>
            <w:r w:rsidRPr="000022BD">
              <w:rPr>
                <w:sz w:val="22"/>
              </w:rPr>
              <w:t xml:space="preserve">A systemic failure for which HO/HO agencies are ultimately responsible exposes more than 100 people to harm in cases when mitigation was expected. </w:t>
            </w:r>
          </w:p>
        </w:tc>
        <w:tc>
          <w:tcPr>
            <w:tcW w:w="2552" w:type="dxa"/>
            <w:shd w:val="clear" w:color="auto" w:fill="auto"/>
          </w:tcPr>
          <w:p w:rsidR="007F1F56" w:rsidRPr="000022BD" w:rsidRDefault="007F1F56" w:rsidP="007F1F56">
            <w:pPr>
              <w:cnfStyle w:val="000000000000"/>
              <w:rPr>
                <w:sz w:val="22"/>
              </w:rPr>
            </w:pPr>
            <w:r w:rsidRPr="000022BD">
              <w:rPr>
                <w:sz w:val="22"/>
              </w:rPr>
              <w:t xml:space="preserve">- Unfunded pressures greater than £10 million. </w:t>
            </w:r>
          </w:p>
          <w:p w:rsidR="007F1F56" w:rsidRPr="000022BD" w:rsidRDefault="007F1F56" w:rsidP="007F1F56">
            <w:pPr>
              <w:cnfStyle w:val="000000000000"/>
              <w:rPr>
                <w:sz w:val="22"/>
              </w:rPr>
            </w:pPr>
            <w:r w:rsidRPr="000022BD">
              <w:rPr>
                <w:sz w:val="22"/>
              </w:rPr>
              <w:t xml:space="preserve">- Fraud, corruption and serious irregularity at director level. </w:t>
            </w:r>
          </w:p>
        </w:tc>
        <w:tc>
          <w:tcPr>
            <w:tcW w:w="2126" w:type="dxa"/>
            <w:shd w:val="clear" w:color="auto" w:fill="auto"/>
          </w:tcPr>
          <w:p w:rsidR="007F1F56" w:rsidRPr="000022BD" w:rsidRDefault="007F1F56" w:rsidP="007F1F56">
            <w:pPr>
              <w:cnfStyle w:val="000000000000"/>
              <w:rPr>
                <w:sz w:val="22"/>
              </w:rPr>
            </w:pPr>
            <w:r w:rsidRPr="000022BD">
              <w:rPr>
                <w:sz w:val="22"/>
              </w:rPr>
              <w:t xml:space="preserve">Incompetence / maladministration that will undermine public trust or a key relationship for a sustained period or at a critical moment. </w:t>
            </w:r>
          </w:p>
        </w:tc>
        <w:tc>
          <w:tcPr>
            <w:tcW w:w="3544" w:type="dxa"/>
            <w:shd w:val="clear" w:color="auto" w:fill="auto"/>
          </w:tcPr>
          <w:p w:rsidR="007F1F56" w:rsidRPr="000022BD" w:rsidRDefault="007F1F56" w:rsidP="007F1F56">
            <w:pPr>
              <w:cnfStyle w:val="000000000000"/>
              <w:rPr>
                <w:sz w:val="22"/>
              </w:rPr>
            </w:pPr>
            <w:r w:rsidRPr="000022BD">
              <w:rPr>
                <w:sz w:val="22"/>
              </w:rPr>
              <w:t xml:space="preserve">Failure to deliver more than one ‘key’ objective. </w:t>
            </w:r>
          </w:p>
        </w:tc>
      </w:tr>
      <w:tr w:rsidR="007F1F56" w:rsidRPr="00BF3D03" w:rsidTr="00B3282B">
        <w:trPr>
          <w:cnfStyle w:val="000000100000"/>
        </w:trPr>
        <w:tc>
          <w:tcPr>
            <w:cnfStyle w:val="001000000000"/>
            <w:tcW w:w="1419" w:type="dxa"/>
            <w:shd w:val="clear" w:color="auto" w:fill="auto"/>
          </w:tcPr>
          <w:p w:rsidR="007F1F56" w:rsidRPr="000022BD" w:rsidRDefault="007F1F56" w:rsidP="007F1F56">
            <w:pPr>
              <w:rPr>
                <w:b w:val="0"/>
                <w:sz w:val="22"/>
              </w:rPr>
            </w:pPr>
            <w:r w:rsidRPr="000022BD">
              <w:rPr>
                <w:b w:val="0"/>
                <w:sz w:val="22"/>
              </w:rPr>
              <w:t xml:space="preserve">MAJOR </w:t>
            </w:r>
          </w:p>
          <w:p w:rsidR="007F1F56" w:rsidRPr="000022BD" w:rsidRDefault="007F1F56" w:rsidP="007F1F56">
            <w:pPr>
              <w:rPr>
                <w:b w:val="0"/>
                <w:sz w:val="22"/>
              </w:rPr>
            </w:pPr>
          </w:p>
          <w:p w:rsidR="007F1F56" w:rsidRPr="000022BD" w:rsidRDefault="007F1F56" w:rsidP="007F1F56">
            <w:pPr>
              <w:rPr>
                <w:b w:val="0"/>
                <w:sz w:val="22"/>
              </w:rPr>
            </w:pPr>
            <w:r w:rsidRPr="000022BD">
              <w:rPr>
                <w:sz w:val="22"/>
              </w:rPr>
              <w:t>or</w:t>
            </w:r>
          </w:p>
          <w:p w:rsidR="007F1F56" w:rsidRPr="000022BD" w:rsidRDefault="007F1F56" w:rsidP="007F1F56">
            <w:pPr>
              <w:rPr>
                <w:b w:val="0"/>
                <w:sz w:val="22"/>
              </w:rPr>
            </w:pPr>
          </w:p>
          <w:p w:rsidR="007F1F56" w:rsidRPr="000022BD" w:rsidRDefault="007F1F56" w:rsidP="007F1F56">
            <w:pPr>
              <w:rPr>
                <w:sz w:val="22"/>
              </w:rPr>
            </w:pPr>
            <w:r w:rsidRPr="000022BD">
              <w:rPr>
                <w:sz w:val="22"/>
              </w:rPr>
              <w:t xml:space="preserve">MEDIUM </w:t>
            </w:r>
          </w:p>
        </w:tc>
        <w:tc>
          <w:tcPr>
            <w:tcW w:w="1984" w:type="dxa"/>
            <w:shd w:val="clear" w:color="auto" w:fill="auto"/>
          </w:tcPr>
          <w:p w:rsidR="007F1F56" w:rsidRPr="000022BD" w:rsidRDefault="007F1F56" w:rsidP="007F1F56">
            <w:pPr>
              <w:cnfStyle w:val="000000100000"/>
              <w:rPr>
                <w:sz w:val="22"/>
              </w:rPr>
            </w:pPr>
            <w:r w:rsidRPr="000022BD">
              <w:rPr>
                <w:sz w:val="22"/>
              </w:rPr>
              <w:t xml:space="preserve">A systemic failure for which HO/HO agencies are ultimately responsible exposes less than 100 people to harm in cases when mitigation was expected. </w:t>
            </w:r>
          </w:p>
        </w:tc>
        <w:tc>
          <w:tcPr>
            <w:tcW w:w="2552" w:type="dxa"/>
            <w:shd w:val="clear" w:color="auto" w:fill="auto"/>
          </w:tcPr>
          <w:p w:rsidR="007F1F56" w:rsidRPr="000022BD" w:rsidRDefault="007F1F56" w:rsidP="007F1F56">
            <w:pPr>
              <w:cnfStyle w:val="000000100000"/>
              <w:rPr>
                <w:sz w:val="22"/>
              </w:rPr>
            </w:pPr>
            <w:r w:rsidRPr="000022BD">
              <w:rPr>
                <w:sz w:val="22"/>
              </w:rPr>
              <w:t xml:space="preserve">- Unfunded pressures greater than £5 million. </w:t>
            </w:r>
          </w:p>
          <w:p w:rsidR="007F1F56" w:rsidRPr="000022BD" w:rsidRDefault="007F1F56" w:rsidP="007F1F56">
            <w:pPr>
              <w:cnfStyle w:val="000000100000"/>
              <w:rPr>
                <w:sz w:val="22"/>
              </w:rPr>
            </w:pPr>
            <w:r w:rsidRPr="000022BD">
              <w:rPr>
                <w:sz w:val="22"/>
              </w:rPr>
              <w:t xml:space="preserve">- Fraud, corruption and serious irregularity at </w:t>
            </w:r>
            <w:proofErr w:type="spellStart"/>
            <w:r w:rsidRPr="000022BD">
              <w:rPr>
                <w:sz w:val="22"/>
              </w:rPr>
              <w:t>SCS</w:t>
            </w:r>
            <w:proofErr w:type="spellEnd"/>
            <w:r w:rsidRPr="000022BD">
              <w:rPr>
                <w:sz w:val="22"/>
              </w:rPr>
              <w:t xml:space="preserve"> level. </w:t>
            </w:r>
          </w:p>
        </w:tc>
        <w:tc>
          <w:tcPr>
            <w:tcW w:w="2126" w:type="dxa"/>
            <w:shd w:val="clear" w:color="auto" w:fill="auto"/>
          </w:tcPr>
          <w:p w:rsidR="007F1F56" w:rsidRPr="000022BD" w:rsidRDefault="007F1F56" w:rsidP="007F1F56">
            <w:pPr>
              <w:cnfStyle w:val="000000100000"/>
              <w:rPr>
                <w:sz w:val="22"/>
              </w:rPr>
            </w:pPr>
            <w:r w:rsidRPr="000022BD">
              <w:rPr>
                <w:sz w:val="22"/>
              </w:rPr>
              <w:t>Incompetence / maladministration or other event that will undermine public trust or a key relationship for a short period. (e.g. policy u-turn)</w:t>
            </w:r>
          </w:p>
        </w:tc>
        <w:tc>
          <w:tcPr>
            <w:tcW w:w="3544" w:type="dxa"/>
            <w:shd w:val="clear" w:color="auto" w:fill="auto"/>
          </w:tcPr>
          <w:p w:rsidR="007F1F56" w:rsidRPr="000022BD" w:rsidRDefault="007F1F56" w:rsidP="007F1F56">
            <w:pPr>
              <w:cnfStyle w:val="000000100000"/>
              <w:rPr>
                <w:sz w:val="22"/>
              </w:rPr>
            </w:pPr>
            <w:r w:rsidRPr="000022BD">
              <w:rPr>
                <w:sz w:val="22"/>
              </w:rPr>
              <w:t xml:space="preserve">Failure to deliver one key objective. </w:t>
            </w:r>
          </w:p>
        </w:tc>
      </w:tr>
      <w:tr w:rsidR="007F1F56" w:rsidRPr="00BF3D03" w:rsidTr="00B3282B">
        <w:tc>
          <w:tcPr>
            <w:cnfStyle w:val="001000000000"/>
            <w:tcW w:w="1419" w:type="dxa"/>
            <w:shd w:val="clear" w:color="auto" w:fill="auto"/>
          </w:tcPr>
          <w:p w:rsidR="007F1F56" w:rsidRPr="000022BD" w:rsidRDefault="007F1F56" w:rsidP="007F1F56">
            <w:pPr>
              <w:rPr>
                <w:b w:val="0"/>
                <w:sz w:val="22"/>
              </w:rPr>
            </w:pPr>
            <w:r w:rsidRPr="000022BD">
              <w:rPr>
                <w:b w:val="0"/>
                <w:sz w:val="22"/>
              </w:rPr>
              <w:t>MODERATE</w:t>
            </w:r>
          </w:p>
          <w:p w:rsidR="007F1F56" w:rsidRPr="000022BD" w:rsidRDefault="007F1F56" w:rsidP="007F1F56">
            <w:pPr>
              <w:rPr>
                <w:b w:val="0"/>
                <w:sz w:val="22"/>
              </w:rPr>
            </w:pPr>
          </w:p>
          <w:p w:rsidR="007F1F56" w:rsidRPr="000022BD" w:rsidRDefault="007F1F56" w:rsidP="007F1F56">
            <w:pPr>
              <w:rPr>
                <w:sz w:val="22"/>
              </w:rPr>
            </w:pPr>
            <w:r w:rsidRPr="000022BD">
              <w:rPr>
                <w:b w:val="0"/>
                <w:sz w:val="22"/>
              </w:rPr>
              <w:t xml:space="preserve"> </w:t>
            </w:r>
            <w:r w:rsidRPr="000022BD">
              <w:rPr>
                <w:sz w:val="22"/>
              </w:rPr>
              <w:t xml:space="preserve">or </w:t>
            </w:r>
          </w:p>
          <w:p w:rsidR="007F1F56" w:rsidRPr="000022BD" w:rsidRDefault="007F1F56" w:rsidP="007F1F56">
            <w:pPr>
              <w:rPr>
                <w:sz w:val="22"/>
              </w:rPr>
            </w:pPr>
          </w:p>
          <w:p w:rsidR="007F1F56" w:rsidRPr="000022BD" w:rsidRDefault="007F1F56" w:rsidP="007F1F56">
            <w:pPr>
              <w:rPr>
                <w:sz w:val="22"/>
              </w:rPr>
            </w:pPr>
            <w:r w:rsidRPr="000022BD">
              <w:rPr>
                <w:sz w:val="22"/>
              </w:rPr>
              <w:t>LOW</w:t>
            </w:r>
            <w:r w:rsidRPr="000022BD">
              <w:rPr>
                <w:b w:val="0"/>
                <w:sz w:val="22"/>
              </w:rPr>
              <w:t xml:space="preserve"> </w:t>
            </w:r>
          </w:p>
          <w:p w:rsidR="007F1F56" w:rsidRPr="000022BD" w:rsidRDefault="007F1F56" w:rsidP="007F1F56">
            <w:pPr>
              <w:rPr>
                <w:sz w:val="22"/>
              </w:rPr>
            </w:pPr>
            <w:r w:rsidRPr="000022BD">
              <w:rPr>
                <w:b w:val="0"/>
                <w:sz w:val="22"/>
              </w:rPr>
              <w:t xml:space="preserve"> </w:t>
            </w:r>
          </w:p>
        </w:tc>
        <w:tc>
          <w:tcPr>
            <w:tcW w:w="1984" w:type="dxa"/>
            <w:shd w:val="clear" w:color="auto" w:fill="auto"/>
          </w:tcPr>
          <w:p w:rsidR="007F1F56" w:rsidRPr="000022BD" w:rsidRDefault="007F1F56" w:rsidP="007F1F56">
            <w:pPr>
              <w:cnfStyle w:val="000000000000"/>
              <w:rPr>
                <w:sz w:val="22"/>
              </w:rPr>
            </w:pPr>
            <w:r w:rsidRPr="000022BD">
              <w:rPr>
                <w:sz w:val="22"/>
              </w:rPr>
              <w:t xml:space="preserve">A systemic failure which results in inadequate protection individuals/individual communities, including failure to resolve celebrity cases. </w:t>
            </w:r>
          </w:p>
        </w:tc>
        <w:tc>
          <w:tcPr>
            <w:tcW w:w="2552" w:type="dxa"/>
            <w:shd w:val="clear" w:color="auto" w:fill="auto"/>
          </w:tcPr>
          <w:p w:rsidR="007F1F56" w:rsidRPr="000022BD" w:rsidRDefault="007F1F56" w:rsidP="007F1F56">
            <w:pPr>
              <w:cnfStyle w:val="000000000000"/>
              <w:rPr>
                <w:sz w:val="22"/>
              </w:rPr>
            </w:pPr>
            <w:r w:rsidRPr="000022BD">
              <w:rPr>
                <w:sz w:val="22"/>
              </w:rPr>
              <w:t xml:space="preserve">- Unfunded pressures greater than £2 million. </w:t>
            </w:r>
          </w:p>
          <w:p w:rsidR="007F1F56" w:rsidRPr="000022BD" w:rsidRDefault="007F1F56" w:rsidP="007F1F56">
            <w:pPr>
              <w:cnfStyle w:val="000000000000"/>
              <w:rPr>
                <w:sz w:val="22"/>
              </w:rPr>
            </w:pPr>
            <w:r w:rsidRPr="000022BD">
              <w:rPr>
                <w:sz w:val="22"/>
              </w:rPr>
              <w:t xml:space="preserve">- Fraud, corruption and serious irregularity at middle-manager (G7/G6) level. </w:t>
            </w:r>
          </w:p>
        </w:tc>
        <w:tc>
          <w:tcPr>
            <w:tcW w:w="2126" w:type="dxa"/>
            <w:shd w:val="clear" w:color="auto" w:fill="auto"/>
          </w:tcPr>
          <w:p w:rsidR="007F1F56" w:rsidRPr="000022BD" w:rsidRDefault="007F1F56" w:rsidP="007F1F56">
            <w:pPr>
              <w:cnfStyle w:val="000000000000"/>
              <w:rPr>
                <w:sz w:val="22"/>
              </w:rPr>
            </w:pPr>
            <w:r w:rsidRPr="000022BD">
              <w:rPr>
                <w:sz w:val="22"/>
              </w:rPr>
              <w:t xml:space="preserve">Event that may lead to widespread public criticism. </w:t>
            </w:r>
          </w:p>
        </w:tc>
        <w:tc>
          <w:tcPr>
            <w:tcW w:w="3544" w:type="dxa"/>
            <w:shd w:val="clear" w:color="auto" w:fill="auto"/>
          </w:tcPr>
          <w:p w:rsidR="007F1F56" w:rsidRPr="000022BD" w:rsidRDefault="007F1F56" w:rsidP="007F1F56">
            <w:pPr>
              <w:cnfStyle w:val="000000000000"/>
              <w:rPr>
                <w:sz w:val="22"/>
              </w:rPr>
            </w:pPr>
            <w:r w:rsidRPr="000022BD">
              <w:rPr>
                <w:sz w:val="22"/>
              </w:rPr>
              <w:t>One of more key objective is only just delivered (e.g. significant delay, or on</w:t>
            </w:r>
            <w:bookmarkStart w:id="38" w:name="_GoBack"/>
            <w:bookmarkEnd w:id="38"/>
            <w:r w:rsidRPr="000022BD">
              <w:rPr>
                <w:sz w:val="22"/>
              </w:rPr>
              <w:t xml:space="preserve"> a downward trend). </w:t>
            </w:r>
          </w:p>
        </w:tc>
      </w:tr>
      <w:tr w:rsidR="007F1F56" w:rsidRPr="00BF3D03" w:rsidTr="00B3282B">
        <w:trPr>
          <w:cnfStyle w:val="000000100000"/>
        </w:trPr>
        <w:tc>
          <w:tcPr>
            <w:cnfStyle w:val="001000000000"/>
            <w:tcW w:w="1419" w:type="dxa"/>
            <w:shd w:val="clear" w:color="auto" w:fill="auto"/>
          </w:tcPr>
          <w:p w:rsidR="007F1F56" w:rsidRPr="000022BD" w:rsidRDefault="007F1F56" w:rsidP="007F1F56">
            <w:pPr>
              <w:rPr>
                <w:b w:val="0"/>
                <w:sz w:val="22"/>
              </w:rPr>
            </w:pPr>
            <w:r w:rsidRPr="000022BD">
              <w:rPr>
                <w:b w:val="0"/>
                <w:sz w:val="22"/>
              </w:rPr>
              <w:t xml:space="preserve">MINOR </w:t>
            </w:r>
          </w:p>
          <w:p w:rsidR="007F1F56" w:rsidRPr="000022BD" w:rsidRDefault="007F1F56" w:rsidP="007F1F56">
            <w:pPr>
              <w:rPr>
                <w:b w:val="0"/>
                <w:sz w:val="22"/>
              </w:rPr>
            </w:pPr>
          </w:p>
          <w:p w:rsidR="007F1F56" w:rsidRPr="000022BD" w:rsidRDefault="007F1F56" w:rsidP="007F1F56">
            <w:pPr>
              <w:rPr>
                <w:sz w:val="22"/>
              </w:rPr>
            </w:pPr>
            <w:r w:rsidRPr="000022BD">
              <w:rPr>
                <w:sz w:val="22"/>
              </w:rPr>
              <w:t xml:space="preserve">or </w:t>
            </w:r>
          </w:p>
          <w:p w:rsidR="007F1F56" w:rsidRPr="000022BD" w:rsidRDefault="007F1F56" w:rsidP="007F1F56">
            <w:pPr>
              <w:rPr>
                <w:sz w:val="22"/>
              </w:rPr>
            </w:pPr>
          </w:p>
          <w:p w:rsidR="007F1F56" w:rsidRPr="000022BD" w:rsidRDefault="007F1F56" w:rsidP="007F1F56">
            <w:pPr>
              <w:rPr>
                <w:sz w:val="22"/>
              </w:rPr>
            </w:pPr>
            <w:r w:rsidRPr="000022BD">
              <w:rPr>
                <w:sz w:val="22"/>
              </w:rPr>
              <w:t xml:space="preserve">VERY LOW </w:t>
            </w:r>
          </w:p>
          <w:p w:rsidR="007F1F56" w:rsidRPr="000022BD" w:rsidRDefault="007F1F56" w:rsidP="007F1F56">
            <w:pPr>
              <w:rPr>
                <w:sz w:val="22"/>
              </w:rPr>
            </w:pPr>
          </w:p>
        </w:tc>
        <w:tc>
          <w:tcPr>
            <w:tcW w:w="1984" w:type="dxa"/>
            <w:shd w:val="clear" w:color="auto" w:fill="auto"/>
          </w:tcPr>
          <w:p w:rsidR="007F1F56" w:rsidRPr="000022BD" w:rsidRDefault="007F1F56" w:rsidP="007F1F56">
            <w:pPr>
              <w:cnfStyle w:val="000000100000"/>
              <w:rPr>
                <w:sz w:val="22"/>
              </w:rPr>
            </w:pPr>
            <w:r w:rsidRPr="000022BD">
              <w:rPr>
                <w:sz w:val="22"/>
              </w:rPr>
              <w:t xml:space="preserve">A systemic failure which fails to address lower level harms such as anti-social behaviour. </w:t>
            </w:r>
          </w:p>
        </w:tc>
        <w:tc>
          <w:tcPr>
            <w:tcW w:w="2552" w:type="dxa"/>
            <w:shd w:val="clear" w:color="auto" w:fill="auto"/>
          </w:tcPr>
          <w:p w:rsidR="007F1F56" w:rsidRPr="000022BD" w:rsidRDefault="007F1F56" w:rsidP="007F1F56">
            <w:pPr>
              <w:cnfStyle w:val="000000100000"/>
              <w:rPr>
                <w:sz w:val="22"/>
              </w:rPr>
            </w:pPr>
            <w:r w:rsidRPr="000022BD">
              <w:rPr>
                <w:sz w:val="22"/>
              </w:rPr>
              <w:t xml:space="preserve">- Unfunded pressures under £2 million. </w:t>
            </w:r>
          </w:p>
          <w:p w:rsidR="007F1F56" w:rsidRPr="000022BD" w:rsidRDefault="007F1F56" w:rsidP="007F1F56">
            <w:pPr>
              <w:cnfStyle w:val="000000100000"/>
              <w:rPr>
                <w:sz w:val="22"/>
              </w:rPr>
            </w:pPr>
            <w:r w:rsidRPr="000022BD">
              <w:rPr>
                <w:sz w:val="22"/>
              </w:rPr>
              <w:t xml:space="preserve">- Fraud, corruption and serious irregularity at more junior levels. </w:t>
            </w:r>
          </w:p>
        </w:tc>
        <w:tc>
          <w:tcPr>
            <w:tcW w:w="2126" w:type="dxa"/>
            <w:shd w:val="clear" w:color="auto" w:fill="auto"/>
          </w:tcPr>
          <w:p w:rsidR="007F1F56" w:rsidRPr="000022BD" w:rsidRDefault="007F1F56" w:rsidP="007F1F56">
            <w:pPr>
              <w:cnfStyle w:val="000000100000"/>
              <w:rPr>
                <w:sz w:val="22"/>
              </w:rPr>
            </w:pPr>
            <w:r w:rsidRPr="000022BD">
              <w:rPr>
                <w:sz w:val="22"/>
              </w:rPr>
              <w:t xml:space="preserve">Event that will lead to public criticism by external stakeholders as anticipated. </w:t>
            </w:r>
          </w:p>
        </w:tc>
        <w:tc>
          <w:tcPr>
            <w:tcW w:w="3544" w:type="dxa"/>
            <w:shd w:val="clear" w:color="auto" w:fill="auto"/>
          </w:tcPr>
          <w:p w:rsidR="007F1F56" w:rsidRPr="000022BD" w:rsidRDefault="007F1F56" w:rsidP="007F1F56">
            <w:pPr>
              <w:cnfStyle w:val="000000100000"/>
              <w:rPr>
                <w:sz w:val="22"/>
              </w:rPr>
            </w:pPr>
            <w:r w:rsidRPr="000022BD">
              <w:rPr>
                <w:sz w:val="22"/>
              </w:rPr>
              <w:t xml:space="preserve">No risk to HO demonstrating achievement of its ‘key’ objectives (to time, on budget etc). Failure to deliver more than one group/directorate level objective. </w:t>
            </w:r>
          </w:p>
        </w:tc>
      </w:tr>
    </w:tbl>
    <w:p w:rsidR="007F1F56" w:rsidRPr="00F04E01" w:rsidRDefault="00B3282B" w:rsidP="00F04E01">
      <w:pPr>
        <w:pStyle w:val="Heading2"/>
      </w:pPr>
      <w:bookmarkStart w:id="39" w:name="_Annex_E_–"/>
      <w:bookmarkStart w:id="40" w:name="_Toc520884387"/>
      <w:bookmarkEnd w:id="39"/>
      <w:r w:rsidRPr="00F04E01">
        <w:lastRenderedPageBreak/>
        <w:t>Annex E – Risk Response Strategies</w:t>
      </w:r>
      <w:bookmarkEnd w:id="40"/>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8086"/>
      </w:tblGrid>
      <w:tr w:rsidR="00B3282B" w:rsidRPr="00B87486" w:rsidTr="00B3282B">
        <w:trPr>
          <w:trHeight w:val="286"/>
          <w:tblHeader/>
          <w:jc w:val="center"/>
        </w:trPr>
        <w:tc>
          <w:tcPr>
            <w:tcW w:w="1776" w:type="dxa"/>
            <w:shd w:val="clear" w:color="auto" w:fill="C0C0C0"/>
            <w:vAlign w:val="center"/>
          </w:tcPr>
          <w:p w:rsidR="00B3282B" w:rsidRPr="00B3282B" w:rsidRDefault="00B3282B" w:rsidP="00811E5F">
            <w:pPr>
              <w:spacing w:before="60"/>
              <w:jc w:val="center"/>
              <w:rPr>
                <w:rFonts w:cs="Arial"/>
              </w:rPr>
            </w:pPr>
            <w:r w:rsidRPr="00B3282B">
              <w:rPr>
                <w:rFonts w:cs="Arial"/>
                <w:b/>
              </w:rPr>
              <w:t>Action</w:t>
            </w:r>
          </w:p>
        </w:tc>
        <w:tc>
          <w:tcPr>
            <w:tcW w:w="8086" w:type="dxa"/>
            <w:shd w:val="clear" w:color="auto" w:fill="C0C0C0"/>
            <w:vAlign w:val="center"/>
          </w:tcPr>
          <w:p w:rsidR="00B3282B" w:rsidRPr="00B3282B" w:rsidRDefault="00B3282B" w:rsidP="00811E5F">
            <w:pPr>
              <w:spacing w:before="60"/>
              <w:jc w:val="center"/>
              <w:rPr>
                <w:rFonts w:cs="Arial"/>
              </w:rPr>
            </w:pPr>
            <w:r w:rsidRPr="00B3282B">
              <w:rPr>
                <w:rFonts w:cs="Arial"/>
                <w:b/>
              </w:rPr>
              <w:t>Response Plan</w:t>
            </w:r>
          </w:p>
        </w:tc>
      </w:tr>
      <w:tr w:rsidR="00F20D02" w:rsidRPr="00B87486" w:rsidTr="00B3282B">
        <w:trPr>
          <w:trHeight w:val="3201"/>
          <w:jc w:val="center"/>
        </w:trPr>
        <w:tc>
          <w:tcPr>
            <w:tcW w:w="1776" w:type="dxa"/>
            <w:vAlign w:val="center"/>
          </w:tcPr>
          <w:p w:rsidR="00F20D02" w:rsidRPr="00B3282B" w:rsidRDefault="00F20D02" w:rsidP="00F20D02">
            <w:pPr>
              <w:spacing w:before="60"/>
              <w:jc w:val="center"/>
              <w:rPr>
                <w:rFonts w:cs="Arial"/>
              </w:rPr>
            </w:pPr>
            <w:r w:rsidRPr="00B3282B">
              <w:rPr>
                <w:rFonts w:cs="Arial"/>
                <w:b/>
              </w:rPr>
              <w:t>Transfer</w:t>
            </w:r>
          </w:p>
          <w:p w:rsidR="00F20D02" w:rsidRPr="00B3282B" w:rsidRDefault="00F20D02" w:rsidP="00F20D02">
            <w:pPr>
              <w:spacing w:before="60"/>
              <w:jc w:val="center"/>
              <w:rPr>
                <w:rFonts w:cs="Arial"/>
              </w:rPr>
            </w:pPr>
          </w:p>
        </w:tc>
        <w:tc>
          <w:tcPr>
            <w:tcW w:w="8086" w:type="dxa"/>
            <w:vAlign w:val="center"/>
          </w:tcPr>
          <w:p w:rsidR="00F20D02" w:rsidRPr="00B3282B" w:rsidRDefault="00F20D02" w:rsidP="00F20D02">
            <w:pPr>
              <w:spacing w:before="60"/>
              <w:rPr>
                <w:rFonts w:cs="Arial"/>
              </w:rPr>
            </w:pPr>
            <w:r w:rsidRPr="00B3282B">
              <w:rPr>
                <w:rFonts w:cs="Arial"/>
              </w:rPr>
              <w:t xml:space="preserve">A third party takes on responsibility for an aspect of the threat  by - </w:t>
            </w:r>
          </w:p>
          <w:p w:rsidR="00F20D02" w:rsidRPr="00B3282B" w:rsidRDefault="00F20D02" w:rsidP="00F20D02">
            <w:pPr>
              <w:spacing w:before="60"/>
              <w:rPr>
                <w:rFonts w:cs="Arial"/>
              </w:rPr>
            </w:pPr>
            <w:r w:rsidRPr="00B3282B">
              <w:rPr>
                <w:rFonts w:cs="Arial"/>
              </w:rPr>
              <w:t>Insurance: when a premium is paid to an insurance company, the contract indemnifies the insured against the associated financial costs of any loss.</w:t>
            </w:r>
          </w:p>
          <w:p w:rsidR="00F20D02" w:rsidRPr="00B3282B" w:rsidRDefault="00F20D02" w:rsidP="00F20D02">
            <w:pPr>
              <w:spacing w:before="60"/>
              <w:rPr>
                <w:rFonts w:cs="Arial"/>
              </w:rPr>
            </w:pPr>
            <w:r w:rsidRPr="00B3282B">
              <w:rPr>
                <w:rFonts w:cs="Arial"/>
              </w:rPr>
              <w:t>Self – insurance: When the cost of the loss is borne by the organisation, for example by setting aside reserves or funds to meet the cost of the loss.</w:t>
            </w:r>
          </w:p>
          <w:p w:rsidR="00F20D02" w:rsidRPr="00B3282B" w:rsidRDefault="00F20D02" w:rsidP="00F20D02">
            <w:pPr>
              <w:spacing w:before="60"/>
              <w:rPr>
                <w:rFonts w:cs="Arial"/>
              </w:rPr>
            </w:pPr>
            <w:r w:rsidRPr="00B3282B">
              <w:rPr>
                <w:rFonts w:cs="Arial"/>
              </w:rPr>
              <w:t>Insurance captive: A captive insurance company is one formed to participate in the insurance portfolio of its parent organisation.</w:t>
            </w:r>
          </w:p>
          <w:p w:rsidR="00F20D02" w:rsidRPr="00B3282B" w:rsidRDefault="00F20D02" w:rsidP="00F20D02">
            <w:pPr>
              <w:spacing w:before="60"/>
              <w:rPr>
                <w:rFonts w:cs="Arial"/>
              </w:rPr>
            </w:pPr>
            <w:r w:rsidRPr="00B3282B">
              <w:rPr>
                <w:rFonts w:cs="Arial"/>
              </w:rPr>
              <w:t>Contractual transfer: When the financial consequence of the threat is transferred to a third party by means of appropriate clauses in a contract.</w:t>
            </w:r>
          </w:p>
        </w:tc>
      </w:tr>
      <w:tr w:rsidR="00F20D02" w:rsidRPr="00B87486" w:rsidTr="00B3282B">
        <w:trPr>
          <w:trHeight w:val="601"/>
          <w:jc w:val="center"/>
        </w:trPr>
        <w:tc>
          <w:tcPr>
            <w:tcW w:w="1776" w:type="dxa"/>
            <w:vAlign w:val="center"/>
          </w:tcPr>
          <w:p w:rsidR="00F20D02" w:rsidRPr="00F20D02" w:rsidRDefault="00F20D02" w:rsidP="00F20D02">
            <w:pPr>
              <w:spacing w:before="60"/>
              <w:jc w:val="center"/>
              <w:rPr>
                <w:rFonts w:cs="Arial"/>
                <w:b/>
              </w:rPr>
            </w:pPr>
            <w:r w:rsidRPr="00F20D02">
              <w:rPr>
                <w:rFonts w:cs="Arial"/>
                <w:b/>
              </w:rPr>
              <w:t>Terminate</w:t>
            </w:r>
          </w:p>
        </w:tc>
        <w:tc>
          <w:tcPr>
            <w:tcW w:w="8086" w:type="dxa"/>
            <w:vAlign w:val="center"/>
          </w:tcPr>
          <w:p w:rsidR="00F20D02" w:rsidRPr="00F20D02" w:rsidRDefault="00F20D02" w:rsidP="00F20D02">
            <w:pPr>
              <w:spacing w:before="60"/>
              <w:rPr>
                <w:rFonts w:cs="Arial"/>
              </w:rPr>
            </w:pPr>
            <w:r w:rsidRPr="00F20D02">
              <w:rPr>
                <w:rFonts w:cs="Arial"/>
                <w:shd w:val="clear" w:color="auto" w:fill="FFFFFF"/>
              </w:rPr>
              <w:t>This approach involves risk elimination. This can be done by altering an inherently risky process or practice to remove the risk. The same can be used when reviewing practices and processes in all areas of the business. If an item presents a risk and can be changed or removed without it materially affecting the business, then removing the risk should be the first option considered; rather than attempting the treat, tolerate or transfer it.</w:t>
            </w:r>
          </w:p>
        </w:tc>
      </w:tr>
      <w:tr w:rsidR="00F20D02" w:rsidRPr="00B87486" w:rsidTr="00B3282B">
        <w:trPr>
          <w:trHeight w:val="2269"/>
          <w:jc w:val="center"/>
        </w:trPr>
        <w:tc>
          <w:tcPr>
            <w:tcW w:w="1776" w:type="dxa"/>
            <w:vAlign w:val="center"/>
          </w:tcPr>
          <w:p w:rsidR="00F20D02" w:rsidRPr="00F20D02" w:rsidRDefault="00F20D02" w:rsidP="00F20D02">
            <w:pPr>
              <w:spacing w:before="60"/>
              <w:jc w:val="center"/>
              <w:rPr>
                <w:rFonts w:cs="Arial"/>
              </w:rPr>
            </w:pPr>
            <w:r w:rsidRPr="00F20D02">
              <w:rPr>
                <w:rFonts w:cs="Arial"/>
                <w:b/>
                <w:bCs/>
                <w:bdr w:val="none" w:sz="0" w:space="0" w:color="auto" w:frame="1"/>
                <w:shd w:val="clear" w:color="auto" w:fill="FFFFFF"/>
              </w:rPr>
              <w:t>Tolerate</w:t>
            </w:r>
          </w:p>
        </w:tc>
        <w:tc>
          <w:tcPr>
            <w:tcW w:w="8086" w:type="dxa"/>
            <w:vAlign w:val="center"/>
          </w:tcPr>
          <w:p w:rsidR="00F20D02" w:rsidRPr="00F20D02" w:rsidRDefault="00F20D02" w:rsidP="00811E5F">
            <w:pPr>
              <w:spacing w:before="60"/>
              <w:rPr>
                <w:rFonts w:cs="Arial"/>
              </w:rPr>
            </w:pPr>
            <w:r>
              <w:rPr>
                <w:rFonts w:cs="Arial"/>
                <w:shd w:val="clear" w:color="auto" w:fill="FFFFFF"/>
              </w:rPr>
              <w:t>N</w:t>
            </w:r>
            <w:r w:rsidRPr="00F20D02">
              <w:rPr>
                <w:rFonts w:cs="Arial"/>
                <w:shd w:val="clear" w:color="auto" w:fill="FFFFFF"/>
              </w:rPr>
              <w:t>o action is taken to mitigate or reduce a risk. This may be because the cost of instituting risk reduction or mitigation activity is not cost-effective or the risks of impact are at so low that they are deemed acceptable to the business.  Even when these risks are tolerated they should be monitored because future changes may make it no longer tolerable</w:t>
            </w:r>
          </w:p>
        </w:tc>
      </w:tr>
      <w:tr w:rsidR="00F20D02" w:rsidRPr="00B87486" w:rsidTr="00B3282B">
        <w:trPr>
          <w:trHeight w:val="616"/>
          <w:jc w:val="center"/>
        </w:trPr>
        <w:tc>
          <w:tcPr>
            <w:tcW w:w="1776" w:type="dxa"/>
            <w:vAlign w:val="center"/>
          </w:tcPr>
          <w:p w:rsidR="00F20D02" w:rsidRPr="00F20D02" w:rsidRDefault="00F20D02" w:rsidP="00F20D02">
            <w:pPr>
              <w:spacing w:before="60"/>
              <w:jc w:val="center"/>
              <w:rPr>
                <w:rFonts w:cs="Arial"/>
                <w:b/>
              </w:rPr>
            </w:pPr>
            <w:r w:rsidRPr="00F20D02">
              <w:rPr>
                <w:rFonts w:cs="Arial"/>
                <w:b/>
              </w:rPr>
              <w:t>Treat</w:t>
            </w:r>
          </w:p>
        </w:tc>
        <w:tc>
          <w:tcPr>
            <w:tcW w:w="8086" w:type="dxa"/>
            <w:vAlign w:val="center"/>
          </w:tcPr>
          <w:p w:rsidR="00F20D02" w:rsidRPr="00F20D02" w:rsidRDefault="00F20D02" w:rsidP="00F20D02">
            <w:pPr>
              <w:spacing w:before="60"/>
              <w:rPr>
                <w:rFonts w:cs="Arial"/>
              </w:rPr>
            </w:pPr>
            <w:r w:rsidRPr="00F20D02">
              <w:rPr>
                <w:rFonts w:cs="Arial"/>
                <w:shd w:val="clear" w:color="auto" w:fill="FFFFFF"/>
              </w:rPr>
              <w:t>controlling risk through actions that reduce the likelihood of the risk occurring or minimize its impact prior to its occurrence.  Also, there are contingent measures that can be developed to reduce the impact of an event once it has occurred</w:t>
            </w:r>
          </w:p>
        </w:tc>
      </w:tr>
      <w:bookmarkEnd w:id="26"/>
    </w:tbl>
    <w:p w:rsidR="00B10BC4" w:rsidRDefault="00B10BC4" w:rsidP="00AB465B">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F04E01" w:rsidRDefault="00F04E01" w:rsidP="00AB465B">
      <w:pPr>
        <w:pStyle w:val="BodyText"/>
      </w:pPr>
    </w:p>
    <w:p w:rsidR="00F04E01" w:rsidRDefault="00F04E01" w:rsidP="00AB465B">
      <w:pPr>
        <w:pStyle w:val="BodyText"/>
      </w:pPr>
    </w:p>
    <w:p w:rsidR="00F04E01" w:rsidRDefault="00F04E01" w:rsidP="00813B69">
      <w:pPr>
        <w:pStyle w:val="Heading2"/>
      </w:pPr>
      <w:r>
        <w:br w:type="page"/>
      </w:r>
    </w:p>
    <w:p w:rsidR="00F04E01" w:rsidRDefault="00F04E01" w:rsidP="00AB465B">
      <w:pPr>
        <w:pStyle w:val="BodyText"/>
        <w:sectPr w:rsidR="00F04E01" w:rsidSect="00503F03">
          <w:pgSz w:w="11906" w:h="16838" w:code="9"/>
          <w:pgMar w:top="851" w:right="1134" w:bottom="284" w:left="1134" w:header="567" w:footer="567" w:gutter="0"/>
          <w:cols w:space="708"/>
          <w:docGrid w:linePitch="360"/>
        </w:sectPr>
      </w:pPr>
    </w:p>
    <w:p w:rsidR="009B591C" w:rsidRDefault="009B591C" w:rsidP="009B591C">
      <w:pPr>
        <w:pStyle w:val="BodyText"/>
      </w:pPr>
      <w:r>
        <w:lastRenderedPageBreak/>
        <w:t>Home Office Project Delivery Framework (insert link when available)</w:t>
      </w:r>
    </w:p>
    <w:p w:rsidR="009B591C" w:rsidRDefault="009B591C" w:rsidP="009B591C">
      <w:pPr>
        <w:pStyle w:val="BodyText"/>
      </w:pPr>
      <w:r>
        <w:t>Portfolio and Project Delivery Directorate</w:t>
      </w:r>
    </w:p>
    <w:p w:rsidR="009B591C" w:rsidRPr="003F0A66" w:rsidRDefault="005302A8" w:rsidP="009B591C">
      <w:pPr>
        <w:pStyle w:val="BodyText"/>
      </w:pPr>
      <w:hyperlink r:id="rId34" w:history="1">
        <w:r w:rsidR="009B591C" w:rsidRPr="006A3A0E">
          <w:rPr>
            <w:rStyle w:val="Hyperlink"/>
          </w:rPr>
          <w:t>Knowledge Hub</w:t>
        </w:r>
      </w:hyperlink>
    </w:p>
    <w:p w:rsidR="00B10BC4" w:rsidRDefault="005302A8" w:rsidP="00AB465B">
      <w:pPr>
        <w:pStyle w:val="BodyText"/>
      </w:pPr>
      <w:hyperlink r:id="rId35" w:history="1">
        <w:r w:rsidR="009B591C" w:rsidRPr="009B591C">
          <w:rPr>
            <w:rStyle w:val="Hyperlink"/>
          </w:rPr>
          <w:t>Home Office Risk Management Policy</w:t>
        </w:r>
      </w:hyperlink>
    </w:p>
    <w:p w:rsidR="00857895" w:rsidRDefault="00857895" w:rsidP="00AB465B">
      <w:pPr>
        <w:pStyle w:val="BodyText"/>
      </w:pPr>
    </w:p>
    <w:p w:rsidR="00857895" w:rsidRDefault="00857895" w:rsidP="00AB465B">
      <w:pPr>
        <w:pStyle w:val="BodyText"/>
      </w:pPr>
    </w:p>
    <w:sectPr w:rsidR="00857895" w:rsidSect="00EE20A4">
      <w:headerReference w:type="even" r:id="rId36"/>
      <w:headerReference w:type="default" r:id="rId37"/>
      <w:footerReference w:type="even" r:id="rId38"/>
      <w:footerReference w:type="default" r:id="rId39"/>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69" w:rsidRDefault="00813B69">
      <w:r>
        <w:separator/>
      </w:r>
    </w:p>
  </w:endnote>
  <w:endnote w:type="continuationSeparator" w:id="0">
    <w:p w:rsidR="00813B69" w:rsidRDefault="00813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5302A8" w:rsidP="003A22AD">
    <w:pPr>
      <w:pStyle w:val="Footer"/>
      <w:jc w:val="left"/>
    </w:pPr>
    <w:r>
      <w:rPr>
        <w:rStyle w:val="PageNumber"/>
      </w:rPr>
      <w:fldChar w:fldCharType="begin"/>
    </w:r>
    <w:r w:rsidR="00813B69">
      <w:rPr>
        <w:rStyle w:val="PageNumber"/>
      </w:rPr>
      <w:instrText xml:space="preserve">PAGE  </w:instrText>
    </w:r>
    <w:r>
      <w:rPr>
        <w:rStyle w:val="PageNumber"/>
      </w:rPr>
      <w:fldChar w:fldCharType="separate"/>
    </w:r>
    <w:r w:rsidR="00813B69">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Pr="00503F03" w:rsidRDefault="005302A8" w:rsidP="00857895">
    <w:pPr>
      <w:pStyle w:val="Footer"/>
      <w:rPr>
        <w:rStyle w:val="PageNumber"/>
      </w:rPr>
    </w:pPr>
    <w:r>
      <w:rPr>
        <w:rStyle w:val="PageNumber"/>
      </w:rPr>
      <w:fldChar w:fldCharType="begin"/>
    </w:r>
    <w:r w:rsidR="00813B69">
      <w:rPr>
        <w:rStyle w:val="PageNumber"/>
      </w:rPr>
      <w:instrText xml:space="preserve">PAGE  </w:instrText>
    </w:r>
    <w:r>
      <w:rPr>
        <w:rStyle w:val="PageNumber"/>
      </w:rPr>
      <w:fldChar w:fldCharType="separate"/>
    </w:r>
    <w:r w:rsidR="008409B2">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5302A8" w:rsidP="003A22AD">
    <w:pPr>
      <w:pStyle w:val="Footer"/>
      <w:jc w:val="left"/>
    </w:pPr>
    <w:r>
      <w:rPr>
        <w:noProof/>
      </w:rPr>
      <w:pict>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813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69" w:rsidRDefault="00813B69">
      <w:r>
        <w:separator/>
      </w:r>
    </w:p>
  </w:footnote>
  <w:footnote w:type="continuationSeparator" w:id="0">
    <w:p w:rsidR="00813B69" w:rsidRDefault="00813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813B69" w:rsidP="003A22AD">
    <w:pPr>
      <w:pStyle w:val="Header"/>
      <w:jc w:val="left"/>
    </w:pPr>
    <w:r w:rsidRPr="00073731">
      <w:t>[</w:t>
    </w:r>
    <w:r>
      <w:t>Title</w:t>
    </w:r>
    <w:r w:rsidRPr="00073731">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Pr="00073731" w:rsidRDefault="00813B69" w:rsidP="00073731">
    <w:pPr>
      <w:pStyle w:val="Header"/>
    </w:pPr>
    <w:r w:rsidRPr="00073731">
      <w:t>[</w:t>
    </w:r>
    <w:r>
      <w:t>Programme Name]Risk Strategy</w:t>
    </w:r>
    <w:r w:rsidRPr="00073731">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813B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69" w:rsidRDefault="005302A8" w:rsidP="00157056">
    <w:pPr>
      <w:pStyle w:val="Header"/>
    </w:pPr>
    <w:r>
      <w:rPr>
        <w:noProof/>
      </w:rPr>
      <w:pict>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nsid w:val="0A5D34E7"/>
    <w:multiLevelType w:val="hybridMultilevel"/>
    <w:tmpl w:val="6432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E01A04"/>
    <w:multiLevelType w:val="hybridMultilevel"/>
    <w:tmpl w:val="7618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497518"/>
    <w:multiLevelType w:val="hybridMultilevel"/>
    <w:tmpl w:val="F1226674"/>
    <w:lvl w:ilvl="0" w:tplc="08090003">
      <w:start w:val="1"/>
      <w:numFmt w:val="bullet"/>
      <w:lvlText w:val="o"/>
      <w:lvlJc w:val="left"/>
      <w:pPr>
        <w:ind w:left="1074" w:hanging="360"/>
      </w:pPr>
      <w:rPr>
        <w:rFonts w:ascii="Courier New" w:hAnsi="Courier New" w:cs="Courier New"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4">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5">
    <w:nsid w:val="2735436D"/>
    <w:multiLevelType w:val="singleLevel"/>
    <w:tmpl w:val="DE3E92F6"/>
    <w:lvl w:ilvl="0">
      <w:start w:val="1"/>
      <w:numFmt w:val="decimal"/>
      <w:lvlText w:val="%1."/>
      <w:lvlJc w:val="left"/>
      <w:pPr>
        <w:tabs>
          <w:tab w:val="num" w:pos="360"/>
        </w:tabs>
        <w:ind w:left="360" w:hanging="360"/>
      </w:pPr>
    </w:lvl>
  </w:abstractNum>
  <w:abstractNum w:abstractNumId="16">
    <w:nsid w:val="2A11037F"/>
    <w:multiLevelType w:val="hybridMultilevel"/>
    <w:tmpl w:val="7D34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15500"/>
    <w:multiLevelType w:val="hybridMultilevel"/>
    <w:tmpl w:val="5E5AF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34D5EEA"/>
    <w:multiLevelType w:val="hybridMultilevel"/>
    <w:tmpl w:val="F4249A20"/>
    <w:lvl w:ilvl="0" w:tplc="8BE44DC4">
      <w:start w:val="1"/>
      <w:numFmt w:val="bullet"/>
      <w:pStyle w:val="Tablebullet"/>
      <w:lvlText w:val=""/>
      <w:lvlJc w:val="left"/>
      <w:pPr>
        <w:ind w:left="720" w:hanging="360"/>
      </w:pPr>
      <w:rPr>
        <w:rFonts w:ascii="Symbol" w:hAnsi="Symbol" w:hint="default"/>
        <w:b/>
        <w:i w:val="0"/>
        <w:color w:val="8064A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9"/>
  </w:num>
  <w:num w:numId="14">
    <w:abstractNumId w:val="13"/>
  </w:num>
  <w:num w:numId="15">
    <w:abstractNumId w:val="14"/>
  </w:num>
  <w:num w:numId="16">
    <w:abstractNumId w:val="15"/>
  </w:num>
  <w:num w:numId="17">
    <w:abstractNumId w:val="20"/>
  </w:num>
  <w:num w:numId="18">
    <w:abstractNumId w:val="17"/>
  </w:num>
  <w:num w:numId="19">
    <w:abstractNumId w:val="22"/>
  </w:num>
  <w:num w:numId="20">
    <w:abstractNumId w:val="12"/>
  </w:num>
  <w:num w:numId="21">
    <w:abstractNumId w:val="11"/>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8"/>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6E0A07"/>
    <w:rsid w:val="000026B7"/>
    <w:rsid w:val="00004702"/>
    <w:rsid w:val="00006662"/>
    <w:rsid w:val="00010496"/>
    <w:rsid w:val="00013B29"/>
    <w:rsid w:val="0002408C"/>
    <w:rsid w:val="000244DC"/>
    <w:rsid w:val="00032E19"/>
    <w:rsid w:val="00037776"/>
    <w:rsid w:val="00046FEC"/>
    <w:rsid w:val="000504B6"/>
    <w:rsid w:val="000605B4"/>
    <w:rsid w:val="00066EF2"/>
    <w:rsid w:val="00070DF7"/>
    <w:rsid w:val="00073482"/>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23499"/>
    <w:rsid w:val="001261A1"/>
    <w:rsid w:val="00126A38"/>
    <w:rsid w:val="00141724"/>
    <w:rsid w:val="001557AB"/>
    <w:rsid w:val="00156B8F"/>
    <w:rsid w:val="00157056"/>
    <w:rsid w:val="0016070D"/>
    <w:rsid w:val="00161A5D"/>
    <w:rsid w:val="001665DB"/>
    <w:rsid w:val="00175A40"/>
    <w:rsid w:val="0017645F"/>
    <w:rsid w:val="00187D9D"/>
    <w:rsid w:val="0019626E"/>
    <w:rsid w:val="001A1912"/>
    <w:rsid w:val="001A3E1D"/>
    <w:rsid w:val="001C36C6"/>
    <w:rsid w:val="001D7141"/>
    <w:rsid w:val="001E25CB"/>
    <w:rsid w:val="001E5540"/>
    <w:rsid w:val="001F231D"/>
    <w:rsid w:val="001F354D"/>
    <w:rsid w:val="0020045C"/>
    <w:rsid w:val="00202511"/>
    <w:rsid w:val="00211F81"/>
    <w:rsid w:val="0022013A"/>
    <w:rsid w:val="002235B1"/>
    <w:rsid w:val="00225E51"/>
    <w:rsid w:val="002335F3"/>
    <w:rsid w:val="00235F3E"/>
    <w:rsid w:val="002368D7"/>
    <w:rsid w:val="0023740A"/>
    <w:rsid w:val="00244E6A"/>
    <w:rsid w:val="00245D8F"/>
    <w:rsid w:val="002536CE"/>
    <w:rsid w:val="002558CA"/>
    <w:rsid w:val="0026133F"/>
    <w:rsid w:val="00280BAF"/>
    <w:rsid w:val="002817EC"/>
    <w:rsid w:val="0028468A"/>
    <w:rsid w:val="002871C4"/>
    <w:rsid w:val="00287E28"/>
    <w:rsid w:val="002939E3"/>
    <w:rsid w:val="002A20BF"/>
    <w:rsid w:val="002A5B6D"/>
    <w:rsid w:val="002C4FD1"/>
    <w:rsid w:val="002F194E"/>
    <w:rsid w:val="002F5923"/>
    <w:rsid w:val="00304AC2"/>
    <w:rsid w:val="003174C8"/>
    <w:rsid w:val="003301F1"/>
    <w:rsid w:val="0034372F"/>
    <w:rsid w:val="00353A0C"/>
    <w:rsid w:val="00353A3E"/>
    <w:rsid w:val="00354114"/>
    <w:rsid w:val="00355E6C"/>
    <w:rsid w:val="0036142F"/>
    <w:rsid w:val="003800DC"/>
    <w:rsid w:val="00380754"/>
    <w:rsid w:val="00391B80"/>
    <w:rsid w:val="00392841"/>
    <w:rsid w:val="00395893"/>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42A94"/>
    <w:rsid w:val="004567A3"/>
    <w:rsid w:val="0046314D"/>
    <w:rsid w:val="00472633"/>
    <w:rsid w:val="004772F9"/>
    <w:rsid w:val="004854E3"/>
    <w:rsid w:val="00485FEB"/>
    <w:rsid w:val="00493273"/>
    <w:rsid w:val="00496AAA"/>
    <w:rsid w:val="004A3552"/>
    <w:rsid w:val="004A747A"/>
    <w:rsid w:val="004B492A"/>
    <w:rsid w:val="004B6A86"/>
    <w:rsid w:val="004C773F"/>
    <w:rsid w:val="004D2940"/>
    <w:rsid w:val="004D53D3"/>
    <w:rsid w:val="004E5B09"/>
    <w:rsid w:val="00500F30"/>
    <w:rsid w:val="005024FF"/>
    <w:rsid w:val="00503F03"/>
    <w:rsid w:val="005227BF"/>
    <w:rsid w:val="00526670"/>
    <w:rsid w:val="005302A8"/>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15A40"/>
    <w:rsid w:val="006239E7"/>
    <w:rsid w:val="0064235A"/>
    <w:rsid w:val="00650B48"/>
    <w:rsid w:val="00652A96"/>
    <w:rsid w:val="00670DBC"/>
    <w:rsid w:val="00671898"/>
    <w:rsid w:val="006A1666"/>
    <w:rsid w:val="006A6431"/>
    <w:rsid w:val="006A6FD0"/>
    <w:rsid w:val="006E0A07"/>
    <w:rsid w:val="006E1B8C"/>
    <w:rsid w:val="006F5181"/>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A5C8A"/>
    <w:rsid w:val="007A7B2B"/>
    <w:rsid w:val="007B71AA"/>
    <w:rsid w:val="007B72BF"/>
    <w:rsid w:val="007C4E37"/>
    <w:rsid w:val="007E01F1"/>
    <w:rsid w:val="007E140D"/>
    <w:rsid w:val="007E75B4"/>
    <w:rsid w:val="007F1F56"/>
    <w:rsid w:val="00810574"/>
    <w:rsid w:val="00811B7C"/>
    <w:rsid w:val="00811E5F"/>
    <w:rsid w:val="008122E3"/>
    <w:rsid w:val="00813B69"/>
    <w:rsid w:val="008173AB"/>
    <w:rsid w:val="008207C7"/>
    <w:rsid w:val="008367FA"/>
    <w:rsid w:val="008409B2"/>
    <w:rsid w:val="008426C0"/>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B591C"/>
    <w:rsid w:val="009B6C2B"/>
    <w:rsid w:val="009C1E41"/>
    <w:rsid w:val="009C5DD6"/>
    <w:rsid w:val="009C6D31"/>
    <w:rsid w:val="009E17E8"/>
    <w:rsid w:val="009E51DD"/>
    <w:rsid w:val="009F0C9F"/>
    <w:rsid w:val="00A067D9"/>
    <w:rsid w:val="00A130FC"/>
    <w:rsid w:val="00A153A7"/>
    <w:rsid w:val="00A31ECE"/>
    <w:rsid w:val="00A435B5"/>
    <w:rsid w:val="00A43DF5"/>
    <w:rsid w:val="00A4554D"/>
    <w:rsid w:val="00A45B5A"/>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282B"/>
    <w:rsid w:val="00B34528"/>
    <w:rsid w:val="00B36C42"/>
    <w:rsid w:val="00B400FF"/>
    <w:rsid w:val="00B45C85"/>
    <w:rsid w:val="00B5012E"/>
    <w:rsid w:val="00B615B3"/>
    <w:rsid w:val="00B661B1"/>
    <w:rsid w:val="00B72AB0"/>
    <w:rsid w:val="00B75E44"/>
    <w:rsid w:val="00B80D29"/>
    <w:rsid w:val="00B86149"/>
    <w:rsid w:val="00B86C6E"/>
    <w:rsid w:val="00B92E10"/>
    <w:rsid w:val="00BD1DC3"/>
    <w:rsid w:val="00BD6519"/>
    <w:rsid w:val="00BE03A0"/>
    <w:rsid w:val="00BE39AD"/>
    <w:rsid w:val="00BF788E"/>
    <w:rsid w:val="00C0537B"/>
    <w:rsid w:val="00C21128"/>
    <w:rsid w:val="00C2422C"/>
    <w:rsid w:val="00C41611"/>
    <w:rsid w:val="00C526F9"/>
    <w:rsid w:val="00C5305D"/>
    <w:rsid w:val="00C62689"/>
    <w:rsid w:val="00C67E91"/>
    <w:rsid w:val="00C9041C"/>
    <w:rsid w:val="00C97600"/>
    <w:rsid w:val="00CA5364"/>
    <w:rsid w:val="00CA686D"/>
    <w:rsid w:val="00CC7AB6"/>
    <w:rsid w:val="00CD00C5"/>
    <w:rsid w:val="00CD0C7B"/>
    <w:rsid w:val="00CD1FC8"/>
    <w:rsid w:val="00CD317D"/>
    <w:rsid w:val="00CE3D1F"/>
    <w:rsid w:val="00CE4784"/>
    <w:rsid w:val="00CF0224"/>
    <w:rsid w:val="00CF3968"/>
    <w:rsid w:val="00CF5511"/>
    <w:rsid w:val="00D076CF"/>
    <w:rsid w:val="00D3080E"/>
    <w:rsid w:val="00D36132"/>
    <w:rsid w:val="00D4028A"/>
    <w:rsid w:val="00D4675F"/>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C3036"/>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E20A4"/>
    <w:rsid w:val="00EF085C"/>
    <w:rsid w:val="00EF1932"/>
    <w:rsid w:val="00EF6EA0"/>
    <w:rsid w:val="00F016EB"/>
    <w:rsid w:val="00F04E01"/>
    <w:rsid w:val="00F06FD2"/>
    <w:rsid w:val="00F1413C"/>
    <w:rsid w:val="00F20D02"/>
    <w:rsid w:val="00F26EAC"/>
    <w:rsid w:val="00F35683"/>
    <w:rsid w:val="00F401A1"/>
    <w:rsid w:val="00F42CEC"/>
    <w:rsid w:val="00F52581"/>
    <w:rsid w:val="00F5320A"/>
    <w:rsid w:val="00F60297"/>
    <w:rsid w:val="00F61AE9"/>
    <w:rsid w:val="00F65766"/>
    <w:rsid w:val="00F663E2"/>
    <w:rsid w:val="00F67147"/>
    <w:rsid w:val="00F67C76"/>
    <w:rsid w:val="00F72499"/>
    <w:rsid w:val="00F731C7"/>
    <w:rsid w:val="00F77FA2"/>
    <w:rsid w:val="00F87B0A"/>
    <w:rsid w:val="00FA32EC"/>
    <w:rsid w:val="00FA5AB6"/>
    <w:rsid w:val="00FA7C17"/>
    <w:rsid w:val="00FB17BF"/>
    <w:rsid w:val="00FB2976"/>
    <w:rsid w:val="00FB31B6"/>
    <w:rsid w:val="00FB57D7"/>
    <w:rsid w:val="00FC247C"/>
    <w:rsid w:val="00FC2AFB"/>
    <w:rsid w:val="00FC4B3D"/>
    <w:rsid w:val="00FD1AD9"/>
    <w:rsid w:val="00FD4519"/>
    <w:rsid w:val="00FD63DA"/>
    <w:rsid w:val="00FE3BF9"/>
    <w:rsid w:val="00FE62C3"/>
    <w:rsid w:val="00FF3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503F03"/>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B46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customStyle="1" w:styleId="Sectiontitle">
    <w:name w:val="Section title"/>
    <w:next w:val="Normal"/>
    <w:qFormat/>
    <w:rsid w:val="00073482"/>
    <w:rPr>
      <w:rFonts w:ascii="Arial" w:hAnsi="Arial" w:cs="Arial"/>
      <w:color w:val="8F23B3"/>
      <w:sz w:val="52"/>
      <w:szCs w:val="52"/>
    </w:rPr>
  </w:style>
  <w:style w:type="paragraph" w:customStyle="1" w:styleId="Bodycopy">
    <w:name w:val="Body copy"/>
    <w:link w:val="BodycopyChar"/>
    <w:rsid w:val="001261A1"/>
    <w:rPr>
      <w:rFonts w:ascii="Arial" w:hAnsi="Arial" w:cs="Arial"/>
      <w:sz w:val="24"/>
      <w:szCs w:val="24"/>
    </w:rPr>
  </w:style>
  <w:style w:type="character" w:customStyle="1" w:styleId="BodycopyChar">
    <w:name w:val="Body copy Char"/>
    <w:basedOn w:val="DefaultParagraphFont"/>
    <w:link w:val="Bodycopy"/>
    <w:rsid w:val="001261A1"/>
    <w:rPr>
      <w:rFonts w:ascii="Arial" w:hAnsi="Arial" w:cs="Arial"/>
      <w:sz w:val="24"/>
      <w:szCs w:val="24"/>
    </w:rPr>
  </w:style>
  <w:style w:type="paragraph" w:customStyle="1" w:styleId="Subheading1">
    <w:name w:val="Subheading 1"/>
    <w:next w:val="Bodycopy"/>
    <w:qFormat/>
    <w:rsid w:val="001261A1"/>
    <w:rPr>
      <w:rFonts w:ascii="Arial" w:hAnsi="Arial" w:cs="Arial"/>
      <w:b/>
      <w:color w:val="8F23B3"/>
      <w:sz w:val="32"/>
      <w:szCs w:val="32"/>
    </w:rPr>
  </w:style>
  <w:style w:type="paragraph" w:styleId="ListParagraph">
    <w:name w:val="List Paragraph"/>
    <w:aliases w:val="Dot pt,F5 List Paragraph,List Paragraph1,List Paragraph11,Colorful List - Accent 11,Bullet 1,Bullet Points,MAIN CONTENT,No Spacing1,List Paragraph Char Char Char,Indicator Text,Numbered Para 1,List Paragraph12,List Paragraph2,OBC Bullet,L"/>
    <w:basedOn w:val="Normal"/>
    <w:link w:val="ListParagraphChar"/>
    <w:uiPriority w:val="34"/>
    <w:qFormat/>
    <w:rsid w:val="001261A1"/>
    <w:pPr>
      <w:spacing w:line="240" w:lineRule="auto"/>
      <w:ind w:left="720"/>
    </w:pPr>
    <w:rPr>
      <w:rFonts w:ascii="Calibri" w:eastAsiaTheme="minorHAnsi" w:hAnsi="Calibri"/>
      <w:sz w:val="22"/>
      <w:szCs w:val="22"/>
      <w:lang w:eastAsia="en-US"/>
    </w:rPr>
  </w:style>
  <w:style w:type="character" w:customStyle="1" w:styleId="ListParagraphChar">
    <w:name w:val="List Paragraph Char"/>
    <w:aliases w:val="Dot pt Char,F5 List Paragraph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1261A1"/>
    <w:rPr>
      <w:rFonts w:ascii="Calibri" w:eastAsiaTheme="minorHAnsi" w:hAnsi="Calibri"/>
      <w:sz w:val="22"/>
      <w:szCs w:val="22"/>
      <w:lang w:eastAsia="en-US"/>
    </w:rPr>
  </w:style>
  <w:style w:type="paragraph" w:customStyle="1" w:styleId="Tableheading">
    <w:name w:val="Table heading"/>
    <w:basedOn w:val="Normal"/>
    <w:link w:val="TableheadingChar"/>
    <w:autoRedefine/>
    <w:qFormat/>
    <w:rsid w:val="001261A1"/>
    <w:pPr>
      <w:keepLines/>
      <w:spacing w:line="240" w:lineRule="auto"/>
    </w:pPr>
    <w:rPr>
      <w:rFonts w:eastAsia="Calibri" w:cs="Arial"/>
      <w:bCs/>
      <w:sz w:val="20"/>
      <w:szCs w:val="20"/>
      <w:lang w:eastAsia="en-US"/>
    </w:rPr>
  </w:style>
  <w:style w:type="character" w:customStyle="1" w:styleId="TableheadingChar">
    <w:name w:val="Table heading Char"/>
    <w:basedOn w:val="DefaultParagraphFont"/>
    <w:link w:val="Tableheading"/>
    <w:rsid w:val="001261A1"/>
    <w:rPr>
      <w:rFonts w:ascii="Arial" w:eastAsia="Calibri" w:hAnsi="Arial" w:cs="Arial"/>
      <w:bCs/>
      <w:lang w:eastAsia="en-US"/>
    </w:rPr>
  </w:style>
  <w:style w:type="paragraph" w:customStyle="1" w:styleId="Tablebullet">
    <w:name w:val="Table bullet"/>
    <w:basedOn w:val="Normal"/>
    <w:link w:val="TablebulletChar"/>
    <w:qFormat/>
    <w:rsid w:val="001261A1"/>
    <w:pPr>
      <w:keepLines/>
      <w:numPr>
        <w:numId w:val="19"/>
      </w:numPr>
      <w:spacing w:after="120" w:line="360" w:lineRule="auto"/>
    </w:pPr>
    <w:rPr>
      <w:rFonts w:eastAsia="Calibri" w:cs="Arial"/>
      <w:sz w:val="20"/>
      <w:szCs w:val="20"/>
      <w:lang w:eastAsia="en-US"/>
    </w:rPr>
  </w:style>
  <w:style w:type="character" w:customStyle="1" w:styleId="TablebulletChar">
    <w:name w:val="Table bullet Char"/>
    <w:basedOn w:val="DefaultParagraphFont"/>
    <w:link w:val="Tablebullet"/>
    <w:rsid w:val="001261A1"/>
    <w:rPr>
      <w:rFonts w:ascii="Arial" w:eastAsia="Calibri" w:hAnsi="Arial" w:cs="Arial"/>
      <w:lang w:eastAsia="en-US"/>
    </w:rPr>
  </w:style>
  <w:style w:type="table" w:styleId="MediumGrid1-Accent4">
    <w:name w:val="Medium Grid 1 Accent 4"/>
    <w:basedOn w:val="TableNormal"/>
    <w:uiPriority w:val="67"/>
    <w:rsid w:val="007F1F56"/>
    <w:rPr>
      <w:rFonts w:ascii="Arial" w:eastAsiaTheme="minorHAnsi" w:hAnsi="Arial" w:cs="Arial"/>
      <w:sz w:val="24"/>
      <w:szCs w:val="22"/>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pple-converted-space">
    <w:name w:val="apple-converted-space"/>
    <w:basedOn w:val="DefaultParagraphFont"/>
    <w:rsid w:val="00F04E01"/>
  </w:style>
</w:styles>
</file>

<file path=word/webSettings.xml><?xml version="1.0" encoding="utf-8"?>
<w:webSettings xmlns:r="http://schemas.openxmlformats.org/officeDocument/2006/relationships" xmlns:w="http://schemas.openxmlformats.org/wordprocessingml/2006/main">
  <w:divs>
    <w:div w:id="711657270">
      <w:bodyDiv w:val="1"/>
      <w:marLeft w:val="0"/>
      <w:marRight w:val="0"/>
      <w:marTop w:val="0"/>
      <w:marBottom w:val="0"/>
      <w:divBdr>
        <w:top w:val="none" w:sz="0" w:space="0" w:color="auto"/>
        <w:left w:val="none" w:sz="0" w:space="0" w:color="auto"/>
        <w:bottom w:val="none" w:sz="0" w:space="0" w:color="auto"/>
        <w:right w:val="none" w:sz="0" w:space="0" w:color="auto"/>
      </w:divBdr>
    </w:div>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https://khub.net/web/guest/welcome?p_p_state=normal&amp;p_p_mode=view&amp;refererPlid=47727240&amp;saveLastPath=false&amp;_com_liferay_login_web_portlet_LoginPortlet_mvcRenderCommandName=%2Flogin%2Flogin&amp;p_p_id=com_liferay_login_web_portlet_LoginPortlet&amp;p_p_lifecycle=0&amp;_com_liferay_login_web_portlet_LoginPortlet_redirect=%2Fweb%2Fgovernment-project-delivery-community-hu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image" Target="media/image4.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Office_Excel_Macro-Enabled_Worksheet1.xlsm"/><Relationship Id="rId20" Type="http://schemas.openxmlformats.org/officeDocument/2006/relationships/image" Target="media/image3.png"/><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orizon.fcos.gsi.gov.uk/file-wrapper/home-office-risk-management-policy-and-guidance"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javascript:void(0)" TargetMode="External"/><Relationship Id="rId28" Type="http://schemas.openxmlformats.org/officeDocument/2006/relationships/package" Target="embeddings/Microsoft_Office_Excel_Macro-Enabled_Worksheet2.xlsm"/><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horizon.fcos.gsi.gov.uk/file-wrapper/home-office-risk-management-policy-and-guidanc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eader" Target="header2.xml"/><Relationship Id="rId35" Type="http://schemas.openxmlformats.org/officeDocument/2006/relationships/hyperlink" Target="https://horizon.fcos.gsi.gov.uk/file-wrapper/home-office-risk-management-policy-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2019-09-27T10:15:26+00:00</_dlc_ExpireDate>
    <_dlc_DocId xmlns="6118b057-8ff5-44e4-b1de-321b26ad5719">HOPROCGV-11-5806</_dlc_DocId>
    <_dlc_DocIdUrl xmlns="6118b057-8ff5-44e4-b1de-321b26ad5719">
      <Url>http://teams.t02.fgcs.local/sites/PROCGV/PPDPROC/_layouts/DocIdRedir.aspx?ID=HOPROCGV-11-5806</Url>
      <Description>HOPROCGV-11-5806</Description>
    </_dlc_DocIdUrl>
    <_dlc_Exempt xmlns="http://schemas.microsoft.com/sharepoint/v3">false</_dlc_Exempt>
    <_dlc_DocIdPersistId xmlns="6118b057-8ff5-44e4-b1de-321b26ad5719">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5DF25-D8D7-49F9-8C3B-C06F8D9CD7CF}"/>
</file>

<file path=customXml/itemProps2.xml><?xml version="1.0" encoding="utf-8"?>
<ds:datastoreItem xmlns:ds="http://schemas.openxmlformats.org/officeDocument/2006/customXml" ds:itemID="{AF67E08B-D9FC-428E-9C94-A15F1249FBFE}"/>
</file>

<file path=customXml/itemProps3.xml><?xml version="1.0" encoding="utf-8"?>
<ds:datastoreItem xmlns:ds="http://schemas.openxmlformats.org/officeDocument/2006/customXml" ds:itemID="{54A32490-66BD-4D41-BA39-D433076966CA}"/>
</file>

<file path=customXml/itemProps4.xml><?xml version="1.0" encoding="utf-8"?>
<ds:datastoreItem xmlns:ds="http://schemas.openxmlformats.org/officeDocument/2006/customXml" ds:itemID="{41462A11-0154-4CDE-B1EC-E8AF4138F69D}"/>
</file>

<file path=customXml/itemProps5.xml><?xml version="1.0" encoding="utf-8"?>
<ds:datastoreItem xmlns:ds="http://schemas.openxmlformats.org/officeDocument/2006/customXml" ds:itemID="{EA28B08A-4359-4D43-BBC0-E0E12C018CC8}"/>
</file>

<file path=customXml/itemProps6.xml><?xml version="1.0" encoding="utf-8"?>
<ds:datastoreItem xmlns:ds="http://schemas.openxmlformats.org/officeDocument/2006/customXml" ds:itemID="{C3A1562E-B5E4-4C1E-AF0C-9F8AEFC600C8}"/>
</file>

<file path=customXml/itemProps7.xml><?xml version="1.0" encoding="utf-8"?>
<ds:datastoreItem xmlns:ds="http://schemas.openxmlformats.org/officeDocument/2006/customXml" ds:itemID="{9A6C0C27-8967-4BD2-8ED7-62BEED373E87}"/>
</file>

<file path=docProps/app.xml><?xml version="1.0" encoding="utf-8"?>
<Properties xmlns="http://schemas.openxmlformats.org/officeDocument/2006/extended-properties" xmlns:vt="http://schemas.openxmlformats.org/officeDocument/2006/docPropsVTypes">
  <Template>Normal</Template>
  <TotalTime>5</TotalTime>
  <Pages>22</Pages>
  <Words>3634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25154</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dc:description/>
  <cp:lastModifiedBy>Scott Wilding</cp:lastModifiedBy>
  <cp:revision>3</cp:revision>
  <dcterms:created xsi:type="dcterms:W3CDTF">2018-08-01T10:23:00Z</dcterms:created>
  <dcterms:modified xsi:type="dcterms:W3CDTF">2018-08-01T14:48:00Z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f56f9da6-93c7-4dee-9a4e-8fd870850079</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3" name="dlc_EmailMailbox">
    <vt:lpwstr/>
  </property>
  <property fmtid="{D5CDD505-2E9C-101B-9397-08002B2CF9AE}" pid="14" name="Order">
    <vt:r8>539300</vt:r8>
  </property>
  <property fmtid="{D5CDD505-2E9C-101B-9397-08002B2CF9AE}" pid="15" name="URL">
    <vt:lpwstr/>
  </property>
  <property fmtid="{D5CDD505-2E9C-101B-9397-08002B2CF9AE}" pid="16" name="dlc_EmailBCC">
    <vt:lpwstr/>
  </property>
  <property fmtid="{D5CDD505-2E9C-101B-9397-08002B2CF9AE}" pid="18" name="xd_Signature">
    <vt:bool>false</vt:bool>
  </property>
  <property fmtid="{D5CDD505-2E9C-101B-9397-08002B2CF9AE}" pid="19" name="ol_Department">
    <vt:lpwstr/>
  </property>
  <property fmtid="{D5CDD505-2E9C-101B-9397-08002B2CF9AE}" pid="20" name="WorkState">
    <vt:lpwstr/>
  </property>
  <property fmtid="{D5CDD505-2E9C-101B-9397-08002B2CF9AE}" pid="21" name="WorkCountry">
    <vt:lpwstr/>
  </property>
  <property fmtid="{D5CDD505-2E9C-101B-9397-08002B2CF9AE}" pid="22" name="xd_ProgID">
    <vt:lpwstr/>
  </property>
  <property fmtid="{D5CDD505-2E9C-101B-9397-08002B2CF9AE}" pid="23" name="dlc_EmailCC">
    <vt:lpwstr/>
  </property>
  <property fmtid="{D5CDD505-2E9C-101B-9397-08002B2CF9AE}" pid="24" name="dlc_EmailSubject">
    <vt:lpwstr/>
  </property>
  <property fmtid="{D5CDD505-2E9C-101B-9397-08002B2CF9AE}" pid="25" name="Location">
    <vt:lpwstr/>
  </property>
  <property fmtid="{D5CDD505-2E9C-101B-9397-08002B2CF9AE}" pid="26" name="_SourceUrl">
    <vt:lpwstr/>
  </property>
  <property fmtid="{D5CDD505-2E9C-101B-9397-08002B2CF9AE}" pid="27" name="_SharedFileIndex">
    <vt:lpwstr/>
  </property>
  <property fmtid="{D5CDD505-2E9C-101B-9397-08002B2CF9AE}" pid="28" name="Folder Description">
    <vt:lpwstr/>
  </property>
  <property fmtid="{D5CDD505-2E9C-101B-9397-08002B2CF9AE}" pid="29" name="dlc_EmailTo">
    <vt:lpwstr/>
  </property>
  <property fmtid="{D5CDD505-2E9C-101B-9397-08002B2CF9AE}" pid="31" name="WorkAddress">
    <vt:lpwstr/>
  </property>
  <property fmtid="{D5CDD505-2E9C-101B-9397-08002B2CF9AE}" pid="32" name="WorkCity">
    <vt:lpwstr/>
  </property>
  <property fmtid="{D5CDD505-2E9C-101B-9397-08002B2CF9AE}" pid="33" name="TemplateUrl">
    <vt:lpwstr/>
  </property>
  <property fmtid="{D5CDD505-2E9C-101B-9397-08002B2CF9AE}" pid="34" name="WorkZip">
    <vt:lpwstr/>
  </property>
  <property fmtid="{D5CDD505-2E9C-101B-9397-08002B2CF9AE}" pid="35" name="IconOverlay">
    <vt:lpwstr/>
  </property>
  <property fmtid="{D5CDD505-2E9C-101B-9397-08002B2CF9AE}" pid="36" name="Deleted">
    <vt:lpwstr/>
  </property>
  <property fmtid="{D5CDD505-2E9C-101B-9397-08002B2CF9AE}" pid="37" name="FileReference">
    <vt:lpwstr/>
  </property>
  <property fmtid="{D5CDD505-2E9C-101B-9397-08002B2CF9AE}" pid="38" name="FileDescription">
    <vt:lpwstr/>
  </property>
  <property fmtid="{D5CDD505-2E9C-101B-9397-08002B2CF9AE}" pid="39" name="dlc_EmailFrom">
    <vt:lpwstr/>
  </property>
  <property fmtid="{D5CDD505-2E9C-101B-9397-08002B2CF9AE}" pid="40" name="Office">
    <vt:lpwstr/>
  </property>
  <property fmtid="{D5CDD505-2E9C-101B-9397-08002B2CF9AE}" pid="41" name="CX_RelocationTimestamp">
    <vt:lpwstr>2018-09-24T11:06:08Z</vt:lpwstr>
  </property>
  <property fmtid="{D5CDD505-2E9C-101B-9397-08002B2CF9AE}" pid="42" name="CX_RelocationUser">
    <vt:lpwstr>Chris Plausin</vt:lpwstr>
  </property>
  <property fmtid="{D5CDD505-2E9C-101B-9397-08002B2CF9AE}" pid="43" name="CX_RelocationOperation">
    <vt:lpwstr>Copy</vt:lpwstr>
  </property>
  <property fmtid="{D5CDD505-2E9C-101B-9397-08002B2CF9AE}" pid="46" name="Business Function Level 3">
    <vt:lpwstr/>
  </property>
</Properties>
</file>