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9E2" w:rsidRPr="00016EF2" w:rsidRDefault="009E09E2" w:rsidP="00EF01E0">
      <w:bookmarkStart w:id="0" w:name="_GoBack"/>
      <w:bookmarkEnd w:id="0"/>
      <w:r w:rsidRPr="00016EF2">
        <w:rPr>
          <w:noProof/>
          <w:sz w:val="20"/>
          <w:lang w:eastAsia="en-GB"/>
        </w:rPr>
        <w:drawing>
          <wp:anchor distT="0" distB="0" distL="114300" distR="114300" simplePos="0" relativeHeight="251659264" behindDoc="0" locked="0" layoutInCell="1" allowOverlap="1" wp14:anchorId="5BD4FFBB" wp14:editId="15639AFA">
            <wp:simplePos x="0" y="0"/>
            <wp:positionH relativeFrom="page">
              <wp:posOffset>-180487</wp:posOffset>
            </wp:positionH>
            <wp:positionV relativeFrom="paragraph">
              <wp:posOffset>-899559</wp:posOffset>
            </wp:positionV>
            <wp:extent cx="4062730" cy="2011680"/>
            <wp:effectExtent l="0" t="0" r="0" b="7620"/>
            <wp:wrapNone/>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9E2" w:rsidRPr="00016EF2" w:rsidRDefault="009E09E2" w:rsidP="00EF01E0"/>
    <w:p w:rsidR="009E09E2" w:rsidRPr="00016EF2" w:rsidRDefault="009E09E2" w:rsidP="00EF01E0"/>
    <w:p w:rsidR="009E09E2" w:rsidRPr="00016EF2" w:rsidRDefault="009E09E2" w:rsidP="00EF01E0"/>
    <w:p w:rsidR="009E09E2" w:rsidRPr="00016EF2" w:rsidRDefault="009E09E2" w:rsidP="00EF01E0"/>
    <w:p w:rsidR="009E09E2" w:rsidRPr="00016EF2" w:rsidRDefault="009E09E2" w:rsidP="00EF01E0"/>
    <w:tbl>
      <w:tblPr>
        <w:tblStyle w:val="TableGrid"/>
        <w:tblpPr w:leftFromText="180" w:rightFromText="180" w:vertAnchor="text" w:horzAnchor="margin" w:tblpXSpec="center" w:tblpY="176"/>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tblGrid>
      <w:tr w:rsidR="009E09E2" w:rsidRPr="00016EF2" w:rsidTr="006E6AE3">
        <w:trPr>
          <w:cnfStyle w:val="100000000000" w:firstRow="1" w:lastRow="0" w:firstColumn="0" w:lastColumn="0" w:oddVBand="0" w:evenVBand="0" w:oddHBand="0" w:evenHBand="0" w:firstRowFirstColumn="0" w:firstRowLastColumn="0" w:lastRowFirstColumn="0" w:lastRowLastColumn="0"/>
          <w:trHeight w:val="159"/>
        </w:trPr>
        <w:tc>
          <w:tcPr>
            <w:tcW w:w="12049" w:type="dxa"/>
            <w:shd w:val="clear" w:color="auto" w:fill="01D1AE"/>
          </w:tcPr>
          <w:p w:rsidR="009E09E2" w:rsidRPr="00016EF2" w:rsidRDefault="009E09E2" w:rsidP="00EF01E0">
            <w:pPr>
              <w:rPr>
                <w:sz w:val="16"/>
                <w:szCs w:val="16"/>
              </w:rPr>
            </w:pPr>
          </w:p>
        </w:tc>
      </w:tr>
      <w:tr w:rsidR="009E09E2" w:rsidRPr="00016EF2" w:rsidTr="006E6AE3">
        <w:trPr>
          <w:trHeight w:val="1566"/>
        </w:trPr>
        <w:tc>
          <w:tcPr>
            <w:tcW w:w="12049" w:type="dxa"/>
            <w:shd w:val="clear" w:color="auto" w:fill="98002E"/>
          </w:tcPr>
          <w:p w:rsidR="009E09E2" w:rsidRPr="00016EF2" w:rsidRDefault="009E09E2" w:rsidP="00EF01E0">
            <w:pPr>
              <w:pStyle w:val="Title"/>
              <w:spacing w:line="240" w:lineRule="auto"/>
              <w:ind w:left="1026"/>
              <w:rPr>
                <w:rFonts w:cs="Arial"/>
              </w:rPr>
            </w:pPr>
            <w:r w:rsidRPr="00016EF2">
              <w:rPr>
                <w:rFonts w:cs="Arial"/>
                <w:noProof/>
                <w:lang w:eastAsia="en-GB"/>
              </w:rPr>
              <mc:AlternateContent>
                <mc:Choice Requires="wps">
                  <w:drawing>
                    <wp:anchor distT="0" distB="0" distL="114300" distR="114300" simplePos="0" relativeHeight="251661312" behindDoc="0" locked="0" layoutInCell="1" allowOverlap="1" wp14:anchorId="1A80CB47" wp14:editId="5A032F85">
                      <wp:simplePos x="0" y="0"/>
                      <wp:positionH relativeFrom="column">
                        <wp:posOffset>513080</wp:posOffset>
                      </wp:positionH>
                      <wp:positionV relativeFrom="paragraph">
                        <wp:posOffset>22860</wp:posOffset>
                      </wp:positionV>
                      <wp:extent cx="6955790" cy="981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790" cy="981075"/>
                              </a:xfrm>
                              <a:prstGeom prst="rect">
                                <a:avLst/>
                              </a:prstGeom>
                              <a:noFill/>
                              <a:ln w="9525">
                                <a:noFill/>
                                <a:miter lim="800000"/>
                                <a:headEnd/>
                                <a:tailEnd/>
                              </a:ln>
                            </wps:spPr>
                            <wps:txbx>
                              <w:txbxContent>
                                <w:p w:rsidR="009E09E2" w:rsidRPr="001104A8" w:rsidRDefault="00986155" w:rsidP="009E09E2">
                                  <w:pPr>
                                    <w:rPr>
                                      <w:b/>
                                      <w:color w:val="FFFFFF" w:themeColor="background1"/>
                                      <w:sz w:val="66"/>
                                      <w:szCs w:val="66"/>
                                    </w:rPr>
                                  </w:pPr>
                                  <w:r>
                                    <w:rPr>
                                      <w:b/>
                                      <w:color w:val="FFFFFF" w:themeColor="background1"/>
                                      <w:sz w:val="66"/>
                                      <w:szCs w:val="66"/>
                                    </w:rPr>
                                    <w:t>Musculoskeletal Health</w:t>
                                  </w:r>
                                </w:p>
                                <w:p w:rsidR="009E09E2" w:rsidRPr="000D1BDA" w:rsidRDefault="009E09E2" w:rsidP="009E09E2">
                                  <w:pPr>
                                    <w:rPr>
                                      <w:b/>
                                      <w:color w:val="FFFFFF" w:themeColor="background1"/>
                                      <w:sz w:val="10"/>
                                      <w:szCs w:val="8"/>
                                    </w:rPr>
                                  </w:pPr>
                                </w:p>
                                <w:p w:rsidR="009E09E2" w:rsidRPr="007B1022" w:rsidRDefault="009E09E2" w:rsidP="009E09E2">
                                  <w:pPr>
                                    <w:rPr>
                                      <w:b/>
                                      <w:color w:val="FFFFFF" w:themeColor="background1"/>
                                      <w:sz w:val="20"/>
                                    </w:rPr>
                                  </w:pPr>
                                  <w:r>
                                    <w:rPr>
                                      <w:b/>
                                      <w:color w:val="FFFFFF" w:themeColor="background1"/>
                                      <w:sz w:val="20"/>
                                    </w:rPr>
                                    <w:t>Briefing</w:t>
                                  </w:r>
                                  <w:r w:rsidRPr="007B1022">
                                    <w:rPr>
                                      <w:b/>
                                      <w:color w:val="FFFFFF" w:themeColor="background1"/>
                                      <w:sz w:val="20"/>
                                    </w:rPr>
                                    <w:t xml:space="preserve"> produced by Public Health England</w:t>
                                  </w:r>
                                  <w:r w:rsidR="00986155">
                                    <w:rPr>
                                      <w:b/>
                                      <w:color w:val="FFFFFF" w:themeColor="background1"/>
                                      <w:sz w:val="20"/>
                                    </w:rPr>
                                    <w:t>’s</w:t>
                                  </w:r>
                                  <w:r w:rsidRPr="007B1022">
                                    <w:rPr>
                                      <w:b/>
                                      <w:color w:val="FFFFFF" w:themeColor="background1"/>
                                      <w:sz w:val="20"/>
                                    </w:rPr>
                                    <w:t xml:space="preserve"> </w:t>
                                  </w:r>
                                  <w:r>
                                    <w:rPr>
                                      <w:b/>
                                      <w:color w:val="FFFFFF" w:themeColor="background1"/>
                                      <w:sz w:val="20"/>
                                    </w:rPr>
                                    <w:t>East of England</w:t>
                                  </w:r>
                                  <w:r w:rsidR="00E756F4">
                                    <w:rPr>
                                      <w:b/>
                                      <w:color w:val="FFFFFF" w:themeColor="background1"/>
                                      <w:sz w:val="20"/>
                                    </w:rPr>
                                    <w:t xml:space="preserve"> </w:t>
                                  </w:r>
                                  <w:r w:rsidR="00986155">
                                    <w:rPr>
                                      <w:b/>
                                      <w:color w:val="FFFFFF" w:themeColor="background1"/>
                                      <w:sz w:val="20"/>
                                    </w:rPr>
                                    <w:t>Health &amp; Wellbeing Team</w:t>
                                  </w:r>
                                  <w:r w:rsidR="00E756F4">
                                    <w:rPr>
                                      <w:b/>
                                      <w:color w:val="FFFFFF" w:themeColor="background1"/>
                                      <w:sz w:val="20"/>
                                    </w:rPr>
                                    <w:t xml:space="preserve"> </w:t>
                                  </w:r>
                                  <w:r>
                                    <w:rPr>
                                      <w:b/>
                                      <w:color w:val="FFFFFF" w:themeColor="background1"/>
                                      <w:sz w:val="20"/>
                                    </w:rPr>
                                    <w:t xml:space="preserve">– </w:t>
                                  </w:r>
                                  <w:r w:rsidR="00986155">
                                    <w:rPr>
                                      <w:b/>
                                      <w:color w:val="FFFFFF" w:themeColor="background1"/>
                                      <w:sz w:val="20"/>
                                    </w:rPr>
                                    <w:t>Sept</w:t>
                                  </w:r>
                                  <w:r>
                                    <w:rPr>
                                      <w:b/>
                                      <w:color w:val="FFFFFF" w:themeColor="background1"/>
                                      <w:sz w:val="20"/>
                                    </w:rPr>
                                    <w:t xml:space="preserve"> 2019 (</w:t>
                                  </w:r>
                                  <w:r w:rsidR="006214CD">
                                    <w:rPr>
                                      <w:b/>
                                      <w:color w:val="FFFFFF" w:themeColor="background1"/>
                                      <w:sz w:val="20"/>
                                    </w:rPr>
                                    <w:t>V</w:t>
                                  </w:r>
                                  <w:r w:rsidR="00811E73">
                                    <w:rPr>
                                      <w:b/>
                                      <w:color w:val="FFFFFF" w:themeColor="background1"/>
                                      <w:sz w:val="20"/>
                                    </w:rPr>
                                    <w:t>1</w:t>
                                  </w:r>
                                  <w:r w:rsidR="006214CD">
                                    <w:rPr>
                                      <w:b/>
                                      <w:color w:val="FFFFFF" w:themeColor="background1"/>
                                      <w:sz w:val="20"/>
                                    </w:rPr>
                                    <w:t>.00</w:t>
                                  </w:r>
                                  <w:r>
                                    <w:rPr>
                                      <w:b/>
                                      <w:color w:val="FFFFFF" w:themeColor="background1"/>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0CB47" id="_x0000_t202" coordsize="21600,21600" o:spt="202" path="m,l,21600r21600,l21600,xe">
                      <v:stroke joinstyle="miter"/>
                      <v:path gradientshapeok="t" o:connecttype="rect"/>
                    </v:shapetype>
                    <v:shape id="Text Box 2" o:spid="_x0000_s1026" type="#_x0000_t202" style="position:absolute;left:0;text-align:left;margin-left:40.4pt;margin-top:1.8pt;width:547.7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" filled="f" stroked="f">
                      <v:textbox>
                        <w:txbxContent>
                          <w:p w:rsidR="009E09E2" w:rsidRPr="001104A8" w:rsidRDefault="00986155" w:rsidP="009E09E2">
                            <w:pPr>
                              <w:rPr>
                                <w:b/>
                                <w:color w:val="FFFFFF" w:themeColor="background1"/>
                                <w:sz w:val="66"/>
                                <w:szCs w:val="66"/>
                              </w:rPr>
                            </w:pPr>
                            <w:r>
                              <w:rPr>
                                <w:b/>
                                <w:color w:val="FFFFFF" w:themeColor="background1"/>
                                <w:sz w:val="66"/>
                                <w:szCs w:val="66"/>
                              </w:rPr>
                              <w:t>Musculoskeletal Health</w:t>
                            </w:r>
                          </w:p>
                          <w:p w:rsidR="009E09E2" w:rsidRPr="000D1BDA" w:rsidRDefault="009E09E2" w:rsidP="009E09E2">
                            <w:pPr>
                              <w:rPr>
                                <w:b/>
                                <w:color w:val="FFFFFF" w:themeColor="background1"/>
                                <w:sz w:val="10"/>
                                <w:szCs w:val="8"/>
                              </w:rPr>
                            </w:pPr>
                          </w:p>
                          <w:p w:rsidR="009E09E2" w:rsidRPr="007B1022" w:rsidRDefault="009E09E2" w:rsidP="009E09E2">
                            <w:pPr>
                              <w:rPr>
                                <w:b/>
                                <w:color w:val="FFFFFF" w:themeColor="background1"/>
                                <w:sz w:val="20"/>
                              </w:rPr>
                            </w:pPr>
                            <w:r>
                              <w:rPr>
                                <w:b/>
                                <w:color w:val="FFFFFF" w:themeColor="background1"/>
                                <w:sz w:val="20"/>
                              </w:rPr>
                              <w:t>Briefing</w:t>
                            </w:r>
                            <w:r w:rsidRPr="007B1022">
                              <w:rPr>
                                <w:b/>
                                <w:color w:val="FFFFFF" w:themeColor="background1"/>
                                <w:sz w:val="20"/>
                              </w:rPr>
                              <w:t xml:space="preserve"> produced by Public Health England</w:t>
                            </w:r>
                            <w:r w:rsidR="00986155">
                              <w:rPr>
                                <w:b/>
                                <w:color w:val="FFFFFF" w:themeColor="background1"/>
                                <w:sz w:val="20"/>
                              </w:rPr>
                              <w:t>’s</w:t>
                            </w:r>
                            <w:r w:rsidRPr="007B1022">
                              <w:rPr>
                                <w:b/>
                                <w:color w:val="FFFFFF" w:themeColor="background1"/>
                                <w:sz w:val="20"/>
                              </w:rPr>
                              <w:t xml:space="preserve"> </w:t>
                            </w:r>
                            <w:r>
                              <w:rPr>
                                <w:b/>
                                <w:color w:val="FFFFFF" w:themeColor="background1"/>
                                <w:sz w:val="20"/>
                              </w:rPr>
                              <w:t>East of England</w:t>
                            </w:r>
                            <w:r w:rsidR="00E756F4">
                              <w:rPr>
                                <w:b/>
                                <w:color w:val="FFFFFF" w:themeColor="background1"/>
                                <w:sz w:val="20"/>
                              </w:rPr>
                              <w:t xml:space="preserve"> </w:t>
                            </w:r>
                            <w:r w:rsidR="00986155">
                              <w:rPr>
                                <w:b/>
                                <w:color w:val="FFFFFF" w:themeColor="background1"/>
                                <w:sz w:val="20"/>
                              </w:rPr>
                              <w:t>Health &amp; Wellbeing Team</w:t>
                            </w:r>
                            <w:r w:rsidR="00E756F4">
                              <w:rPr>
                                <w:b/>
                                <w:color w:val="FFFFFF" w:themeColor="background1"/>
                                <w:sz w:val="20"/>
                              </w:rPr>
                              <w:t xml:space="preserve"> </w:t>
                            </w:r>
                            <w:r>
                              <w:rPr>
                                <w:b/>
                                <w:color w:val="FFFFFF" w:themeColor="background1"/>
                                <w:sz w:val="20"/>
                              </w:rPr>
                              <w:t xml:space="preserve">– </w:t>
                            </w:r>
                            <w:r w:rsidR="00986155">
                              <w:rPr>
                                <w:b/>
                                <w:color w:val="FFFFFF" w:themeColor="background1"/>
                                <w:sz w:val="20"/>
                              </w:rPr>
                              <w:t>Sept</w:t>
                            </w:r>
                            <w:r>
                              <w:rPr>
                                <w:b/>
                                <w:color w:val="FFFFFF" w:themeColor="background1"/>
                                <w:sz w:val="20"/>
                              </w:rPr>
                              <w:t xml:space="preserve"> 2019 (</w:t>
                            </w:r>
                            <w:r w:rsidR="006214CD">
                              <w:rPr>
                                <w:b/>
                                <w:color w:val="FFFFFF" w:themeColor="background1"/>
                                <w:sz w:val="20"/>
                              </w:rPr>
                              <w:t>V</w:t>
                            </w:r>
                            <w:r w:rsidR="00811E73">
                              <w:rPr>
                                <w:b/>
                                <w:color w:val="FFFFFF" w:themeColor="background1"/>
                                <w:sz w:val="20"/>
                              </w:rPr>
                              <w:t>1</w:t>
                            </w:r>
                            <w:r w:rsidR="006214CD">
                              <w:rPr>
                                <w:b/>
                                <w:color w:val="FFFFFF" w:themeColor="background1"/>
                                <w:sz w:val="20"/>
                              </w:rPr>
                              <w:t>.00</w:t>
                            </w:r>
                            <w:r>
                              <w:rPr>
                                <w:b/>
                                <w:color w:val="FFFFFF" w:themeColor="background1"/>
                                <w:sz w:val="20"/>
                              </w:rPr>
                              <w:t>)</w:t>
                            </w:r>
                          </w:p>
                        </w:txbxContent>
                      </v:textbox>
                    </v:shape>
                  </w:pict>
                </mc:Fallback>
              </mc:AlternateContent>
            </w:r>
          </w:p>
        </w:tc>
      </w:tr>
    </w:tbl>
    <w:p w:rsidR="009E09E2" w:rsidRPr="00016EF2" w:rsidRDefault="009E09E2" w:rsidP="00EF01E0">
      <w:pPr>
        <w:autoSpaceDE w:val="0"/>
        <w:autoSpaceDN w:val="0"/>
        <w:adjustRightInd w:val="0"/>
        <w:spacing w:before="240"/>
        <w:rPr>
          <w:color w:val="000000"/>
          <w:sz w:val="22"/>
          <w:szCs w:val="24"/>
        </w:rPr>
      </w:pPr>
      <w:r w:rsidRPr="00016EF2">
        <w:rPr>
          <w:color w:val="000000"/>
          <w:szCs w:val="24"/>
        </w:rPr>
        <w:t>This briefing pap</w:t>
      </w:r>
      <w:r w:rsidRPr="00016EF2">
        <w:rPr>
          <w:szCs w:val="24"/>
        </w:rPr>
        <w:t>er has been produced by Public Health England’s East of England Health and Wellbeing Team</w:t>
      </w:r>
      <w:r w:rsidRPr="00016EF2">
        <w:rPr>
          <w:color w:val="000000"/>
          <w:szCs w:val="24"/>
        </w:rPr>
        <w:t xml:space="preserve">. It is designed to provide easy access to key reference points and useful </w:t>
      </w:r>
      <w:r w:rsidRPr="00016EF2">
        <w:rPr>
          <w:szCs w:val="24"/>
        </w:rPr>
        <w:t xml:space="preserve">resources around the </w:t>
      </w:r>
      <w:r w:rsidR="00010092" w:rsidRPr="00016EF2">
        <w:rPr>
          <w:szCs w:val="24"/>
        </w:rPr>
        <w:t>musculoskeletal (MSK) health</w:t>
      </w:r>
      <w:r w:rsidRPr="00016EF2">
        <w:rPr>
          <w:color w:val="000000"/>
          <w:szCs w:val="24"/>
        </w:rPr>
        <w:t xml:space="preserve"> agenda and will be updated on a regular basis as new information becomes available. The information in each section is presented chronologically, with the most recent first.</w:t>
      </w:r>
    </w:p>
    <w:p w:rsidR="009E09E2" w:rsidRPr="00016EF2" w:rsidRDefault="009E09E2" w:rsidP="00EF01E0"/>
    <w:tbl>
      <w:tblPr>
        <w:tblStyle w:val="TableGrid"/>
        <w:tblpPr w:leftFromText="180" w:rightFromText="180" w:vertAnchor="text" w:horzAnchor="margin" w:tblpXSpec="center" w:tblpY="61"/>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002E"/>
        <w:tblLook w:val="04A0" w:firstRow="1" w:lastRow="0" w:firstColumn="1" w:lastColumn="0" w:noHBand="0" w:noVBand="1"/>
      </w:tblPr>
      <w:tblGrid>
        <w:gridCol w:w="12049"/>
      </w:tblGrid>
      <w:tr w:rsidR="009E09E2" w:rsidRPr="00016EF2" w:rsidTr="006E6AE3">
        <w:trPr>
          <w:cnfStyle w:val="100000000000" w:firstRow="1" w:lastRow="0" w:firstColumn="0" w:lastColumn="0" w:oddVBand="0" w:evenVBand="0" w:oddHBand="0" w:evenHBand="0" w:firstRowFirstColumn="0" w:firstRowLastColumn="0" w:lastRowFirstColumn="0" w:lastRowLastColumn="0"/>
          <w:trHeight w:val="584"/>
        </w:trPr>
        <w:tc>
          <w:tcPr>
            <w:tcW w:w="12049" w:type="dxa"/>
            <w:shd w:val="clear" w:color="auto" w:fill="98002E"/>
          </w:tcPr>
          <w:p w:rsidR="009E09E2" w:rsidRPr="00016EF2" w:rsidRDefault="009E09E2" w:rsidP="00EF01E0">
            <w:pPr>
              <w:pStyle w:val="PHEBodycopy"/>
              <w:spacing w:line="240" w:lineRule="auto"/>
              <w:ind w:left="1026"/>
            </w:pPr>
            <w:r w:rsidRPr="00016EF2">
              <w:rPr>
                <w:sz w:val="32"/>
              </w:rPr>
              <w:t>National policy and reports</w:t>
            </w:r>
          </w:p>
        </w:tc>
      </w:tr>
    </w:tbl>
    <w:p w:rsidR="009E09E2" w:rsidRPr="00016EF2" w:rsidRDefault="009E09E2" w:rsidP="00EF01E0">
      <w:pPr>
        <w:rPr>
          <w:sz w:val="4"/>
          <w:szCs w:val="4"/>
        </w:rPr>
      </w:pPr>
    </w:p>
    <w:tbl>
      <w:tblPr>
        <w:tblW w:w="4745" w:type="pct"/>
        <w:tblCellSpacing w:w="0" w:type="dxa"/>
        <w:tblCellMar>
          <w:left w:w="0" w:type="dxa"/>
          <w:right w:w="0" w:type="dxa"/>
        </w:tblCellMar>
        <w:tblLook w:val="04A0" w:firstRow="1" w:lastRow="0" w:firstColumn="1" w:lastColumn="0" w:noHBand="0" w:noVBand="1"/>
      </w:tblPr>
      <w:tblGrid>
        <w:gridCol w:w="9685"/>
      </w:tblGrid>
      <w:tr w:rsidR="009E09E2" w:rsidRPr="00016EF2" w:rsidTr="006E6AE3">
        <w:trPr>
          <w:tblCellSpacing w:w="0" w:type="dxa"/>
        </w:trPr>
        <w:tc>
          <w:tcPr>
            <w:tcW w:w="9361" w:type="dxa"/>
            <w:hideMark/>
          </w:tcPr>
          <w:p w:rsidR="009E09E2" w:rsidRPr="00016EF2" w:rsidRDefault="009E09E2" w:rsidP="00EF01E0">
            <w:pPr>
              <w:pStyle w:val="NormalWeb"/>
              <w:spacing w:before="0" w:beforeAutospacing="0" w:after="0" w:afterAutospacing="0"/>
              <w:rPr>
                <w:rFonts w:ascii="Arial" w:hAnsi="Arial" w:cs="Arial"/>
                <w:color w:val="381D59"/>
              </w:rPr>
            </w:pPr>
          </w:p>
        </w:tc>
      </w:tr>
    </w:tbl>
    <w:p w:rsidR="00064834" w:rsidRPr="00A870C1" w:rsidRDefault="00064834" w:rsidP="00EF01E0">
      <w:pPr>
        <w:rPr>
          <w:b/>
          <w:sz w:val="12"/>
        </w:rPr>
      </w:pPr>
    </w:p>
    <w:p w:rsidR="007542DD" w:rsidRDefault="007542DD" w:rsidP="00EF01E0">
      <w:pPr>
        <w:rPr>
          <w:b/>
        </w:rPr>
      </w:pPr>
      <w:r>
        <w:rPr>
          <w:b/>
        </w:rPr>
        <w:t>State of Musculoskeletal Health 2019</w:t>
      </w:r>
    </w:p>
    <w:p w:rsidR="00064834" w:rsidRDefault="007542DD" w:rsidP="00EF01E0">
      <w:r>
        <w:t xml:space="preserve">In </w:t>
      </w:r>
      <w:r w:rsidRPr="007542DD">
        <w:rPr>
          <w:b/>
        </w:rPr>
        <w:t>July 2019</w:t>
      </w:r>
      <w:r>
        <w:t>, Versus Arthritis</w:t>
      </w:r>
      <w:r w:rsidR="00A816D6">
        <w:t xml:space="preserve"> (formerly Arthritis Research UK) </w:t>
      </w:r>
      <w:r>
        <w:t xml:space="preserve"> published their annual </w:t>
      </w:r>
      <w:hyperlink r:id="rId9" w:history="1">
        <w:r>
          <w:rPr>
            <w:rStyle w:val="Hyperlink"/>
            <w:b/>
          </w:rPr>
          <w:t>State of MSK Health report</w:t>
        </w:r>
      </w:hyperlink>
      <w:r>
        <w:t xml:space="preserve"> which is a resource for health professionals, policy makers, public health leads and anyone else interested in MSK health. It details the scale of the problem; key factors affecting MSK health; the impact and the economic benefits of MSK research. </w:t>
      </w:r>
    </w:p>
    <w:p w:rsidR="008E484F" w:rsidRDefault="008E484F" w:rsidP="00EF01E0"/>
    <w:p w:rsidR="00FF2B9B" w:rsidRPr="00FF2B9B" w:rsidRDefault="00FF2B9B" w:rsidP="00EF01E0">
      <w:pPr>
        <w:rPr>
          <w:b/>
        </w:rPr>
      </w:pPr>
      <w:r w:rsidRPr="00FF2B9B">
        <w:rPr>
          <w:b/>
        </w:rPr>
        <w:t>Developing Partnerships and a Whole-System Approach for the Prevention of MSK Conditions in England</w:t>
      </w:r>
    </w:p>
    <w:p w:rsidR="00FF2B9B" w:rsidRPr="00FF2B9B" w:rsidRDefault="00FF2B9B" w:rsidP="00EF01E0">
      <w:r>
        <w:t xml:space="preserve">This </w:t>
      </w:r>
      <w:hyperlink r:id="rId10" w:history="1">
        <w:r w:rsidRPr="00FF2B9B">
          <w:rPr>
            <w:rStyle w:val="Hyperlink"/>
            <w:b/>
          </w:rPr>
          <w:t>case study and lessons learnt</w:t>
        </w:r>
      </w:hyperlink>
      <w:r>
        <w:t xml:space="preserve"> was published in Public Health Panorama (</w:t>
      </w:r>
      <w:r w:rsidRPr="00FF2B9B">
        <w:rPr>
          <w:b/>
        </w:rPr>
        <w:t>September 2018</w:t>
      </w:r>
      <w:r>
        <w:t xml:space="preserve">) and includes PHE as an author. The case study reviews experience in England of developing and implementing a public health approach to the prevention of and early intervention in MSK conditions. </w:t>
      </w:r>
    </w:p>
    <w:p w:rsidR="00FF2B9B" w:rsidRDefault="00FF2B9B" w:rsidP="00EF01E0">
      <w:pPr>
        <w:rPr>
          <w:b/>
        </w:rPr>
      </w:pPr>
    </w:p>
    <w:p w:rsidR="00F87916" w:rsidRPr="00F87916" w:rsidRDefault="00F87916" w:rsidP="00EF01E0">
      <w:pPr>
        <w:rPr>
          <w:b/>
        </w:rPr>
      </w:pPr>
      <w:r w:rsidRPr="00F87916">
        <w:rPr>
          <w:b/>
        </w:rPr>
        <w:t>Musculoskeletal Conditions and Multimorbidity Report</w:t>
      </w:r>
    </w:p>
    <w:p w:rsidR="00F87916" w:rsidRPr="00016EF2" w:rsidRDefault="00F87916" w:rsidP="00EF01E0">
      <w:r>
        <w:t xml:space="preserve">This </w:t>
      </w:r>
      <w:hyperlink r:id="rId11" w:history="1">
        <w:r w:rsidRPr="00F87916">
          <w:rPr>
            <w:rStyle w:val="Hyperlink"/>
            <w:b/>
          </w:rPr>
          <w:t>policy report</w:t>
        </w:r>
      </w:hyperlink>
      <w:r>
        <w:t xml:space="preserve"> (</w:t>
      </w:r>
      <w:r w:rsidR="00FF2B9B">
        <w:rPr>
          <w:b/>
        </w:rPr>
        <w:t>June</w:t>
      </w:r>
      <w:r w:rsidRPr="007450C4">
        <w:rPr>
          <w:b/>
        </w:rPr>
        <w:t xml:space="preserve"> 2017</w:t>
      </w:r>
      <w:r>
        <w:t>) by Versus Arthritis</w:t>
      </w:r>
      <w:r w:rsidR="00A816D6">
        <w:t xml:space="preserve"> </w:t>
      </w:r>
      <w:r>
        <w:t>explores the link between arthritis and many long-term conditions. It details key observations and sets out seven recommendations for change at a national and local level.</w:t>
      </w:r>
    </w:p>
    <w:p w:rsidR="00F87916" w:rsidRPr="007542DD" w:rsidRDefault="00F87916" w:rsidP="00EF01E0"/>
    <w:p w:rsidR="00497955" w:rsidRPr="00016EF2" w:rsidRDefault="00FF2B9B" w:rsidP="00EF01E0">
      <w:pPr>
        <w:rPr>
          <w:b/>
        </w:rPr>
      </w:pPr>
      <w:r>
        <w:rPr>
          <w:b/>
        </w:rPr>
        <w:t xml:space="preserve">Providing </w:t>
      </w:r>
      <w:r w:rsidR="00497955" w:rsidRPr="00016EF2">
        <w:rPr>
          <w:b/>
        </w:rPr>
        <w:t>Physical Activity Interventions for People with Musculoskeletal Conditions</w:t>
      </w:r>
    </w:p>
    <w:p w:rsidR="00497955" w:rsidRDefault="00497955" w:rsidP="00EF01E0">
      <w:r w:rsidRPr="00016EF2">
        <w:t xml:space="preserve">This jointly produced </w:t>
      </w:r>
      <w:hyperlink r:id="rId12" w:history="1">
        <w:r w:rsidRPr="00016EF2">
          <w:rPr>
            <w:rStyle w:val="Hyperlink"/>
            <w:b/>
          </w:rPr>
          <w:t>report</w:t>
        </w:r>
      </w:hyperlink>
      <w:r w:rsidRPr="00016EF2">
        <w:t xml:space="preserve"> by Versus Arthritis, the Department of Health, PHE and NHS England (</w:t>
      </w:r>
      <w:r w:rsidRPr="00016EF2">
        <w:rPr>
          <w:b/>
        </w:rPr>
        <w:t>March 2017</w:t>
      </w:r>
      <w:r w:rsidRPr="00016EF2">
        <w:t xml:space="preserve">) reviews the benefits of physical activity for both those with MSK conditions and the wider society, and provides a framework that supports a tiered approach to intervention. It’s intended for those commissioning and providing local services and other interested parties such as health and fitness professionals and leisure and sports facilities providers. </w:t>
      </w:r>
    </w:p>
    <w:p w:rsidR="001F408C" w:rsidRDefault="001F408C" w:rsidP="00EF01E0"/>
    <w:p w:rsidR="00A816D6" w:rsidRDefault="00A816D6" w:rsidP="00EF01E0"/>
    <w:p w:rsidR="00A816D6" w:rsidRDefault="00A816D6" w:rsidP="00EF01E0"/>
    <w:p w:rsidR="00A816D6" w:rsidRDefault="00A816D6" w:rsidP="00EF01E0"/>
    <w:p w:rsidR="009E09E2" w:rsidRPr="00016EF2" w:rsidRDefault="009E09E2" w:rsidP="00EF01E0">
      <w:pPr>
        <w:rPr>
          <w:szCs w:val="24"/>
          <w:lang w:val="en"/>
        </w:rPr>
      </w:pPr>
      <w:r w:rsidRPr="00016EF2">
        <w:rPr>
          <w:noProof/>
          <w:szCs w:val="24"/>
          <w:lang w:eastAsia="en-GB"/>
        </w:rPr>
        <w:lastRenderedPageBreak/>
        <mc:AlternateContent>
          <mc:Choice Requires="wps">
            <w:drawing>
              <wp:anchor distT="0" distB="0" distL="114300" distR="114300" simplePos="0" relativeHeight="251663360" behindDoc="0" locked="0" layoutInCell="1" allowOverlap="1" wp14:anchorId="239E8FFA" wp14:editId="1506283D">
                <wp:simplePos x="0" y="0"/>
                <wp:positionH relativeFrom="column">
                  <wp:align>center</wp:align>
                </wp:positionH>
                <wp:positionV relativeFrom="paragraph">
                  <wp:posOffset>0</wp:posOffset>
                </wp:positionV>
                <wp:extent cx="7824470" cy="370800"/>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0800"/>
                        </a:xfrm>
                        <a:prstGeom prst="rect">
                          <a:avLst/>
                        </a:prstGeom>
                        <a:solidFill>
                          <a:srgbClr val="980029"/>
                        </a:solidFill>
                        <a:ln w="9525">
                          <a:noFill/>
                          <a:miter lim="800000"/>
                          <a:headEnd/>
                          <a:tailEnd/>
                        </a:ln>
                      </wps:spPr>
                      <wps:txbx>
                        <w:txbxContent>
                          <w:p w:rsidR="009E09E2" w:rsidRPr="00DE07C9" w:rsidRDefault="009E09E2" w:rsidP="009E09E2">
                            <w:pPr>
                              <w:ind w:left="720"/>
                              <w:rPr>
                                <w:b/>
                                <w:color w:val="FFFFFF" w:themeColor="background1"/>
                                <w:sz w:val="32"/>
                                <w:szCs w:val="32"/>
                              </w:rPr>
                            </w:pPr>
                            <w:r>
                              <w:rPr>
                                <w:b/>
                                <w:color w:val="FFFFFF" w:themeColor="background1"/>
                                <w:sz w:val="32"/>
                                <w:szCs w:val="32"/>
                              </w:rPr>
                              <w:t xml:space="preserve">   Data, guidance, infographics and toolkits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E8FFA" id="_x0000_s1027" type="#_x0000_t202" style="position:absolute;margin-left:0;margin-top:0;width:616.1pt;height:29.2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" fillcolor="#980029" stroked="f">
                <v:textbox>
                  <w:txbxContent>
                    <w:p w:rsidR="009E09E2" w:rsidRPr="00DE07C9" w:rsidRDefault="009E09E2" w:rsidP="009E09E2">
                      <w:pPr>
                        <w:ind w:left="720"/>
                        <w:rPr>
                          <w:b/>
                          <w:color w:val="FFFFFF" w:themeColor="background1"/>
                          <w:sz w:val="32"/>
                          <w:szCs w:val="32"/>
                        </w:rPr>
                      </w:pPr>
                      <w:r>
                        <w:rPr>
                          <w:b/>
                          <w:color w:val="FFFFFF" w:themeColor="background1"/>
                          <w:sz w:val="32"/>
                          <w:szCs w:val="32"/>
                        </w:rPr>
                        <w:t xml:space="preserve">   Data, guidance, infographics and toolkits</w:t>
                      </w:r>
                    </w:p>
                  </w:txbxContent>
                </v:textbox>
              </v:shape>
            </w:pict>
          </mc:Fallback>
        </mc:AlternateContent>
      </w:r>
    </w:p>
    <w:p w:rsidR="009E09E2" w:rsidRPr="00A816D6" w:rsidRDefault="009E09E2" w:rsidP="00EF01E0">
      <w:pPr>
        <w:spacing w:before="240"/>
        <w:rPr>
          <w:sz w:val="20"/>
        </w:rPr>
      </w:pPr>
    </w:p>
    <w:p w:rsidR="00497955" w:rsidRPr="00016EF2" w:rsidRDefault="00497955" w:rsidP="00EF01E0">
      <w:pPr>
        <w:rPr>
          <w:b/>
        </w:rPr>
      </w:pPr>
      <w:r w:rsidRPr="00016EF2">
        <w:rPr>
          <w:b/>
        </w:rPr>
        <w:t>MSK Calculator</w:t>
      </w:r>
    </w:p>
    <w:p w:rsidR="00497955" w:rsidRPr="00016EF2" w:rsidRDefault="00497955" w:rsidP="00EF01E0">
      <w:r w:rsidRPr="00016EF2">
        <w:t xml:space="preserve">Versus Arthritis and Imperial College London have developed an </w:t>
      </w:r>
      <w:hyperlink r:id="rId13" w:history="1">
        <w:r w:rsidRPr="00163838">
          <w:rPr>
            <w:rStyle w:val="Hyperlink"/>
            <w:b/>
          </w:rPr>
          <w:t>MSK calculator</w:t>
        </w:r>
      </w:hyperlink>
      <w:r w:rsidRPr="00016EF2">
        <w:t xml:space="preserve"> which is a prevalence modelling tool for MSK conditions. </w:t>
      </w:r>
    </w:p>
    <w:p w:rsidR="00497955" w:rsidRDefault="00497955" w:rsidP="00EF01E0">
      <w:pPr>
        <w:rPr>
          <w:b/>
        </w:rPr>
      </w:pPr>
    </w:p>
    <w:p w:rsidR="00973607" w:rsidRDefault="00973607" w:rsidP="00EF01E0">
      <w:pPr>
        <w:rPr>
          <w:b/>
        </w:rPr>
      </w:pPr>
      <w:r>
        <w:rPr>
          <w:b/>
        </w:rPr>
        <w:t>MSK Conditions Fingertips Profile</w:t>
      </w:r>
    </w:p>
    <w:p w:rsidR="00973607" w:rsidRPr="00973607" w:rsidRDefault="00973607" w:rsidP="00EF01E0">
      <w:r w:rsidRPr="00973607">
        <w:t xml:space="preserve">PHE has produced </w:t>
      </w:r>
      <w:r>
        <w:t>the</w:t>
      </w:r>
      <w:r w:rsidRPr="00973607">
        <w:t xml:space="preserve"> </w:t>
      </w:r>
      <w:hyperlink r:id="rId14" w:history="1">
        <w:r w:rsidRPr="005A508C">
          <w:rPr>
            <w:rStyle w:val="Hyperlink"/>
            <w:b/>
          </w:rPr>
          <w:t>musculoskeletal condition profile</w:t>
        </w:r>
      </w:hyperlink>
      <w:r>
        <w:t xml:space="preserve"> (</w:t>
      </w:r>
      <w:r w:rsidRPr="005A508C">
        <w:rPr>
          <w:b/>
        </w:rPr>
        <w:t>updated regularly</w:t>
      </w:r>
      <w:r>
        <w:t>) to provide meaningful data, on a single platform, to ena</w:t>
      </w:r>
      <w:r w:rsidR="005A508C">
        <w:t xml:space="preserve">ble commissioners to understand the health needs of their local populations and commission high value services. </w:t>
      </w:r>
    </w:p>
    <w:p w:rsidR="00973607" w:rsidRDefault="00973607" w:rsidP="00EF01E0">
      <w:pPr>
        <w:rPr>
          <w:b/>
        </w:rPr>
      </w:pPr>
    </w:p>
    <w:p w:rsidR="00163838" w:rsidRDefault="00163838" w:rsidP="00EF01E0">
      <w:pPr>
        <w:rPr>
          <w:b/>
        </w:rPr>
      </w:pPr>
      <w:r>
        <w:rPr>
          <w:b/>
        </w:rPr>
        <w:t>Musculoskeletal Health: 5 Year Prevention Strategic Framework</w:t>
      </w:r>
    </w:p>
    <w:p w:rsidR="00163838" w:rsidRDefault="00163838" w:rsidP="00EF01E0">
      <w:r>
        <w:t xml:space="preserve">PHE, jointly with NHSE, Versus Arthritis and partners, published the </w:t>
      </w:r>
      <w:hyperlink r:id="rId15" w:history="1">
        <w:r w:rsidRPr="00016EF2">
          <w:rPr>
            <w:rStyle w:val="Hyperlink"/>
            <w:b/>
          </w:rPr>
          <w:t>strategic framework</w:t>
        </w:r>
      </w:hyperlink>
      <w:r>
        <w:t xml:space="preserve"> (</w:t>
      </w:r>
      <w:r w:rsidRPr="00016EF2">
        <w:rPr>
          <w:b/>
        </w:rPr>
        <w:t>June 2019</w:t>
      </w:r>
      <w:r>
        <w:t>), which sets out a statement of commitments to promote MSK health and prevent MSK conditions. The framework is underpinned by key objectives, deliverables, outcomes and desired impact by 2023, providing a strategic programme overview of MSK prevention for England.</w:t>
      </w:r>
    </w:p>
    <w:p w:rsidR="00E95578" w:rsidRDefault="00E95578" w:rsidP="00EF01E0"/>
    <w:p w:rsidR="00E95578" w:rsidRPr="00EC3E00" w:rsidRDefault="00E95578" w:rsidP="00EF01E0">
      <w:pPr>
        <w:autoSpaceDE w:val="0"/>
        <w:autoSpaceDN w:val="0"/>
        <w:adjustRightInd w:val="0"/>
        <w:rPr>
          <w:b/>
          <w:lang w:val="en"/>
        </w:rPr>
      </w:pPr>
      <w:r w:rsidRPr="00EC3E00">
        <w:rPr>
          <w:b/>
          <w:lang w:val="en"/>
        </w:rPr>
        <w:t>All Our Health</w:t>
      </w:r>
    </w:p>
    <w:p w:rsidR="00E95578" w:rsidRDefault="00E95578" w:rsidP="00EF01E0">
      <w:pPr>
        <w:rPr>
          <w:lang w:val="en"/>
        </w:rPr>
      </w:pPr>
      <w:r w:rsidRPr="00EC3E00">
        <w:rPr>
          <w:lang w:val="en"/>
        </w:rPr>
        <w:t xml:space="preserve">The PHE </w:t>
      </w:r>
      <w:hyperlink r:id="rId16" w:history="1">
        <w:r w:rsidRPr="00C939EC">
          <w:rPr>
            <w:rStyle w:val="Hyperlink"/>
            <w:b/>
            <w:lang w:val="en"/>
          </w:rPr>
          <w:t>All Our Health framework</w:t>
        </w:r>
      </w:hyperlink>
      <w:r w:rsidRPr="00EC3E00">
        <w:rPr>
          <w:lang w:val="en"/>
        </w:rPr>
        <w:t xml:space="preserve"> (</w:t>
      </w:r>
      <w:r w:rsidRPr="00C939EC">
        <w:rPr>
          <w:b/>
          <w:lang w:val="en"/>
        </w:rPr>
        <w:t xml:space="preserve">first published 2015, but evolving with latest updates in </w:t>
      </w:r>
      <w:r>
        <w:rPr>
          <w:b/>
          <w:lang w:val="en"/>
        </w:rPr>
        <w:t>May 2019</w:t>
      </w:r>
      <w:r w:rsidRPr="00EC3E00">
        <w:rPr>
          <w:lang w:val="en"/>
        </w:rPr>
        <w:t>) is a framework of evidence to help healthcare professionals in England understand and maximise the impact on improving health outcomes and reducing health inequalities. Since the publica</w:t>
      </w:r>
      <w:r>
        <w:rPr>
          <w:lang w:val="en"/>
        </w:rPr>
        <w:t>tion of this framework, PHE has</w:t>
      </w:r>
      <w:r w:rsidRPr="00EC3E00">
        <w:rPr>
          <w:lang w:val="en"/>
        </w:rPr>
        <w:t xml:space="preserve"> published a resource </w:t>
      </w:r>
      <w:hyperlink r:id="rId17" w:history="1">
        <w:r w:rsidRPr="00C939EC">
          <w:rPr>
            <w:rStyle w:val="Hyperlink"/>
            <w:b/>
            <w:lang w:val="en"/>
          </w:rPr>
          <w:t>about the framework</w:t>
        </w:r>
      </w:hyperlink>
      <w:r>
        <w:rPr>
          <w:lang w:val="en"/>
        </w:rPr>
        <w:t xml:space="preserve"> </w:t>
      </w:r>
      <w:r w:rsidRPr="00EC3E00">
        <w:rPr>
          <w:lang w:val="en"/>
        </w:rPr>
        <w:t xml:space="preserve">and another piece of guidance around applying </w:t>
      </w:r>
      <w:r>
        <w:rPr>
          <w:lang w:val="en"/>
        </w:rPr>
        <w:t>‘</w:t>
      </w:r>
      <w:r w:rsidRPr="00EC3E00">
        <w:rPr>
          <w:lang w:val="en"/>
        </w:rPr>
        <w:t>All Our Health</w:t>
      </w:r>
      <w:r>
        <w:rPr>
          <w:lang w:val="en"/>
        </w:rPr>
        <w:t>’</w:t>
      </w:r>
      <w:r w:rsidRPr="00EC3E00">
        <w:rPr>
          <w:lang w:val="en"/>
        </w:rPr>
        <w:t xml:space="preserve"> in relation to </w:t>
      </w:r>
      <w:hyperlink r:id="rId18" w:history="1">
        <w:r w:rsidRPr="00E95578">
          <w:rPr>
            <w:rStyle w:val="Hyperlink"/>
            <w:b/>
            <w:lang w:val="en"/>
          </w:rPr>
          <w:t>MSK health</w:t>
        </w:r>
      </w:hyperlink>
      <w:r w:rsidRPr="00E95578">
        <w:rPr>
          <w:rStyle w:val="Hyperlink"/>
          <w:u w:val="none"/>
          <w:lang w:val="en"/>
        </w:rPr>
        <w:t xml:space="preserve"> </w:t>
      </w:r>
      <w:r w:rsidRPr="00E95578">
        <w:rPr>
          <w:rStyle w:val="Hyperlink"/>
          <w:b/>
          <w:color w:val="000000" w:themeColor="text1"/>
          <w:u w:val="none"/>
          <w:lang w:val="en"/>
        </w:rPr>
        <w:t>(</w:t>
      </w:r>
      <w:r>
        <w:rPr>
          <w:rStyle w:val="Hyperlink"/>
          <w:b/>
          <w:color w:val="000000" w:themeColor="text1"/>
          <w:u w:val="none"/>
          <w:lang w:val="en"/>
        </w:rPr>
        <w:t>January</w:t>
      </w:r>
      <w:r w:rsidRPr="00E95578">
        <w:rPr>
          <w:rStyle w:val="Hyperlink"/>
          <w:b/>
          <w:color w:val="000000" w:themeColor="text1"/>
          <w:u w:val="none"/>
          <w:lang w:val="en"/>
        </w:rPr>
        <w:t xml:space="preserve"> 2019)</w:t>
      </w:r>
      <w:r w:rsidRPr="00EC3E00">
        <w:rPr>
          <w:lang w:val="en"/>
        </w:rPr>
        <w:t>. This guidance explains the need for promoti</w:t>
      </w:r>
      <w:r>
        <w:rPr>
          <w:lang w:val="en"/>
        </w:rPr>
        <w:t>ng MSK health; interventions that can prevent the onset of MSK; actions that can be taken;</w:t>
      </w:r>
      <w:r w:rsidRPr="00EC3E00">
        <w:rPr>
          <w:lang w:val="en"/>
        </w:rPr>
        <w:t xml:space="preserve"> measuring impact and other useful resources.</w:t>
      </w:r>
    </w:p>
    <w:p w:rsidR="00163838" w:rsidRDefault="00163838" w:rsidP="00EF01E0"/>
    <w:p w:rsidR="00163838" w:rsidRPr="00016EF2" w:rsidRDefault="00163838" w:rsidP="00EF01E0">
      <w:pPr>
        <w:rPr>
          <w:b/>
        </w:rPr>
      </w:pPr>
      <w:r w:rsidRPr="00016EF2">
        <w:rPr>
          <w:b/>
        </w:rPr>
        <w:t>Musculoskeletal Core Capabilities Framework</w:t>
      </w:r>
    </w:p>
    <w:p w:rsidR="00163838" w:rsidRPr="00016EF2" w:rsidRDefault="00163838" w:rsidP="00EF01E0">
      <w:pPr>
        <w:rPr>
          <w:lang w:val="en-US"/>
        </w:rPr>
      </w:pPr>
      <w:r w:rsidRPr="00016EF2">
        <w:rPr>
          <w:lang w:val="en-US"/>
        </w:rPr>
        <w:t xml:space="preserve">This </w:t>
      </w:r>
      <w:hyperlink r:id="rId19" w:history="1">
        <w:r w:rsidRPr="00016EF2">
          <w:rPr>
            <w:rStyle w:val="Hyperlink"/>
            <w:b/>
            <w:lang w:val="en-US"/>
          </w:rPr>
          <w:t>framework</w:t>
        </w:r>
      </w:hyperlink>
      <w:r w:rsidRPr="00016EF2">
        <w:rPr>
          <w:lang w:val="en-US"/>
        </w:rPr>
        <w:t xml:space="preserve"> (</w:t>
      </w:r>
      <w:r w:rsidRPr="00016EF2">
        <w:rPr>
          <w:b/>
          <w:lang w:val="en-US"/>
        </w:rPr>
        <w:t>July 2018</w:t>
      </w:r>
      <w:r w:rsidRPr="00016EF2">
        <w:rPr>
          <w:lang w:val="en-US"/>
        </w:rPr>
        <w:t>)</w:t>
      </w:r>
      <w:r>
        <w:rPr>
          <w:lang w:val="en-US"/>
        </w:rPr>
        <w:t xml:space="preserve"> for first point of contact practitioners has been published in partnership by PHE, NHSE, Health Education England, Skills for Health and the Arthritis and Musculoskeletal Alliance. It aims to ensure that people with MSK problems get rapid access to diagnosis and early management advice. It sets out a standard for consistent, safe, effective practice across a range of settings.</w:t>
      </w:r>
    </w:p>
    <w:p w:rsidR="00163838" w:rsidRPr="00016EF2" w:rsidRDefault="00163838" w:rsidP="00EF01E0">
      <w:pPr>
        <w:rPr>
          <w:b/>
        </w:rPr>
      </w:pPr>
    </w:p>
    <w:p w:rsidR="00497955" w:rsidRPr="00016EF2" w:rsidRDefault="00497955" w:rsidP="00EF01E0">
      <w:pPr>
        <w:rPr>
          <w:b/>
        </w:rPr>
      </w:pPr>
      <w:r w:rsidRPr="00016EF2">
        <w:rPr>
          <w:b/>
        </w:rPr>
        <w:t>Productive Healthy Ageing and MSK Health</w:t>
      </w:r>
    </w:p>
    <w:p w:rsidR="00497955" w:rsidRPr="00016EF2" w:rsidRDefault="00497955" w:rsidP="00EF01E0">
      <w:r w:rsidRPr="00016EF2">
        <w:t xml:space="preserve">This PHE </w:t>
      </w:r>
      <w:hyperlink r:id="rId20" w:history="1">
        <w:r w:rsidRPr="00163838">
          <w:rPr>
            <w:rStyle w:val="Hyperlink"/>
            <w:b/>
          </w:rPr>
          <w:t>guidance</w:t>
        </w:r>
      </w:hyperlink>
      <w:r w:rsidRPr="00016EF2">
        <w:t xml:space="preserve"> (</w:t>
      </w:r>
      <w:r w:rsidRPr="00163838">
        <w:rPr>
          <w:b/>
        </w:rPr>
        <w:t>December 2017</w:t>
      </w:r>
      <w:r w:rsidRPr="00016EF2">
        <w:t xml:space="preserve">) is aimed at health professionals and local authorities and makes the case for action to support healthy productive ageing. The guidance includes background data and impact of poor MSK health as well at interventions to prevent the onset of MSK problems and a call to action for healthcare professionals, local authorities, commissioners and the voluntary and private sectors. </w:t>
      </w:r>
    </w:p>
    <w:p w:rsidR="00497955" w:rsidRPr="00016EF2" w:rsidRDefault="00497955" w:rsidP="00EF01E0">
      <w:pPr>
        <w:rPr>
          <w:b/>
        </w:rPr>
      </w:pPr>
    </w:p>
    <w:p w:rsidR="00497955" w:rsidRPr="00016EF2" w:rsidRDefault="00497955" w:rsidP="00EF01E0">
      <w:pPr>
        <w:rPr>
          <w:b/>
        </w:rPr>
      </w:pPr>
      <w:r w:rsidRPr="00016EF2">
        <w:rPr>
          <w:b/>
        </w:rPr>
        <w:t>Return on Investment of Interventions for the Prevention and Treatment of MSK Conditions</w:t>
      </w:r>
    </w:p>
    <w:p w:rsidR="00497955" w:rsidRPr="00016EF2" w:rsidRDefault="00497955" w:rsidP="00EF01E0">
      <w:r w:rsidRPr="00016EF2">
        <w:t xml:space="preserve">This PHE </w:t>
      </w:r>
      <w:hyperlink r:id="rId21" w:history="1">
        <w:r w:rsidRPr="00163838">
          <w:rPr>
            <w:rStyle w:val="Hyperlink"/>
            <w:b/>
          </w:rPr>
          <w:t>tool</w:t>
        </w:r>
      </w:hyperlink>
      <w:r w:rsidRPr="00163838">
        <w:rPr>
          <w:b/>
        </w:rPr>
        <w:t xml:space="preserve"> </w:t>
      </w:r>
      <w:r w:rsidRPr="00016EF2">
        <w:t>(</w:t>
      </w:r>
      <w:r w:rsidRPr="00163838">
        <w:rPr>
          <w:b/>
        </w:rPr>
        <w:t>December 2017</w:t>
      </w:r>
      <w:r w:rsidRPr="00016EF2">
        <w:t xml:space="preserve">) is to help local commissioners provide cost-effective interventions for the prevention and treatment of MSK conditions. The tool allows results to be tailored to local situation based on the knowledge of the user. Accompanying the tool itself is a report and a literature review. </w:t>
      </w:r>
    </w:p>
    <w:p w:rsidR="00497955" w:rsidRDefault="00497955" w:rsidP="00EF01E0">
      <w:pPr>
        <w:rPr>
          <w:b/>
        </w:rPr>
      </w:pPr>
    </w:p>
    <w:p w:rsidR="00A816D6" w:rsidRDefault="00A816D6" w:rsidP="00EF01E0">
      <w:pPr>
        <w:rPr>
          <w:b/>
        </w:rPr>
      </w:pPr>
      <w:r>
        <w:rPr>
          <w:b/>
        </w:rPr>
        <w:t>Transforming MSK and Orthopaedic Elective Care Services</w:t>
      </w:r>
    </w:p>
    <w:p w:rsidR="00A816D6" w:rsidRPr="00A816D6" w:rsidRDefault="00A816D6" w:rsidP="00EF01E0">
      <w:r>
        <w:t xml:space="preserve">This NHSE </w:t>
      </w:r>
      <w:hyperlink r:id="rId22" w:history="1">
        <w:r w:rsidRPr="00A816D6">
          <w:rPr>
            <w:rStyle w:val="Hyperlink"/>
            <w:b/>
          </w:rPr>
          <w:t>handbook</w:t>
        </w:r>
      </w:hyperlink>
      <w:r w:rsidRPr="00A816D6">
        <w:rPr>
          <w:b/>
        </w:rPr>
        <w:t xml:space="preserve"> </w:t>
      </w:r>
      <w:r>
        <w:t>(</w:t>
      </w:r>
      <w:r w:rsidRPr="00A816D6">
        <w:rPr>
          <w:b/>
        </w:rPr>
        <w:t>December 2017</w:t>
      </w:r>
      <w:r>
        <w:t>) has been produced to support local health and care systems to work together to better manage rising demand for elective care services; improve patient experience and access to care and provide more integrated, person-centred care.</w:t>
      </w:r>
    </w:p>
    <w:p w:rsidR="00A816D6" w:rsidRDefault="00A816D6" w:rsidP="00EF01E0">
      <w:pPr>
        <w:rPr>
          <w:b/>
        </w:rPr>
      </w:pPr>
    </w:p>
    <w:p w:rsidR="00B93736" w:rsidRPr="00154817" w:rsidRDefault="00B93736" w:rsidP="00EF01E0">
      <w:pPr>
        <w:rPr>
          <w:b/>
        </w:rPr>
      </w:pPr>
      <w:r w:rsidRPr="00154817">
        <w:rPr>
          <w:b/>
        </w:rPr>
        <w:t>MSK Health in the Workplace</w:t>
      </w:r>
      <w:r>
        <w:rPr>
          <w:b/>
        </w:rPr>
        <w:t>: A Toolkit for Employers</w:t>
      </w:r>
    </w:p>
    <w:p w:rsidR="00B93736" w:rsidRDefault="00B93736" w:rsidP="00EF01E0">
      <w:r>
        <w:t xml:space="preserve">Business in the Community in partnership with PHE have produced a suite of toolkits to health organisations support the mental and physical health and wellbeing of its employees. These are free to access for all employers, irrespective of size or sector. In particular there is a </w:t>
      </w:r>
      <w:hyperlink r:id="rId23" w:history="1">
        <w:r w:rsidRPr="00B93736">
          <w:rPr>
            <w:rStyle w:val="Hyperlink"/>
            <w:b/>
          </w:rPr>
          <w:t>MSK health in the workplace toolkit</w:t>
        </w:r>
      </w:hyperlink>
      <w:r>
        <w:t xml:space="preserve"> (</w:t>
      </w:r>
      <w:r w:rsidRPr="00B93736">
        <w:rPr>
          <w:b/>
        </w:rPr>
        <w:t>March 2017</w:t>
      </w:r>
      <w:r>
        <w:t>).</w:t>
      </w:r>
    </w:p>
    <w:p w:rsidR="00B93736" w:rsidRPr="00016EF2" w:rsidRDefault="00B93736" w:rsidP="00EF01E0">
      <w:pPr>
        <w:rPr>
          <w:b/>
        </w:rPr>
      </w:pPr>
    </w:p>
    <w:p w:rsidR="00497955" w:rsidRPr="00016EF2" w:rsidRDefault="00497955" w:rsidP="00EF01E0">
      <w:pPr>
        <w:rPr>
          <w:b/>
        </w:rPr>
      </w:pPr>
      <w:r w:rsidRPr="00016EF2">
        <w:rPr>
          <w:b/>
        </w:rPr>
        <w:t>NHS RightCare Focus Packs</w:t>
      </w:r>
    </w:p>
    <w:p w:rsidR="00497955" w:rsidRPr="00016EF2" w:rsidRDefault="00497955" w:rsidP="00EF01E0">
      <w:r w:rsidRPr="00016EF2">
        <w:t xml:space="preserve">These NHS RightCare produced </w:t>
      </w:r>
      <w:hyperlink r:id="rId24" w:history="1">
        <w:r w:rsidRPr="00163838">
          <w:rPr>
            <w:rStyle w:val="Hyperlink"/>
            <w:b/>
          </w:rPr>
          <w:t>data packs</w:t>
        </w:r>
      </w:hyperlink>
      <w:r w:rsidRPr="00016EF2">
        <w:t xml:space="preserve"> (</w:t>
      </w:r>
      <w:r w:rsidRPr="00163838">
        <w:rPr>
          <w:b/>
        </w:rPr>
        <w:t>May 2016</w:t>
      </w:r>
      <w:r w:rsidRPr="00016EF2">
        <w:t xml:space="preserve">) allow local health systems to consider information from across patient pathways to identify the greatest potential improvements in spend and outcomes. These packs are CCG focused with one specifically for </w:t>
      </w:r>
      <w:hyperlink r:id="rId25" w:history="1">
        <w:r w:rsidRPr="006214CD">
          <w:rPr>
            <w:rStyle w:val="Hyperlink"/>
            <w:b/>
          </w:rPr>
          <w:t>MSK</w:t>
        </w:r>
      </w:hyperlink>
      <w:r w:rsidRPr="006214CD">
        <w:rPr>
          <w:b/>
        </w:rPr>
        <w:t>.</w:t>
      </w:r>
    </w:p>
    <w:p w:rsidR="009E09E2" w:rsidRPr="00016EF2" w:rsidRDefault="009E09E2" w:rsidP="00EF01E0"/>
    <w:p w:rsidR="009E09E2" w:rsidRPr="00016EF2" w:rsidRDefault="009E09E2" w:rsidP="00EF01E0">
      <w:pPr>
        <w:rPr>
          <w:szCs w:val="24"/>
          <w:lang w:val="en"/>
        </w:rPr>
      </w:pPr>
      <w:r w:rsidRPr="00016EF2">
        <w:rPr>
          <w:noProof/>
          <w:szCs w:val="24"/>
          <w:lang w:eastAsia="en-GB"/>
        </w:rPr>
        <mc:AlternateContent>
          <mc:Choice Requires="wps">
            <w:drawing>
              <wp:anchor distT="0" distB="0" distL="114300" distR="114300" simplePos="0" relativeHeight="251665408" behindDoc="0" locked="0" layoutInCell="1" allowOverlap="1" wp14:anchorId="176BA76B" wp14:editId="18025FB5">
                <wp:simplePos x="0" y="0"/>
                <wp:positionH relativeFrom="column">
                  <wp:posOffset>-762635</wp:posOffset>
                </wp:positionH>
                <wp:positionV relativeFrom="paragraph">
                  <wp:posOffset>101600</wp:posOffset>
                </wp:positionV>
                <wp:extent cx="7824470" cy="371475"/>
                <wp:effectExtent l="0" t="0"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9E09E2" w:rsidRPr="00DE07C9" w:rsidRDefault="009E09E2" w:rsidP="009E09E2">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BA76B" id="_x0000_s1028" type="#_x0000_t202" style="position:absolute;margin-left:-60.05pt;margin-top:8pt;width:616.1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" fillcolor="#980029" stroked="f">
                <v:textbox>
                  <w:txbxContent>
                    <w:p w:rsidR="009E09E2" w:rsidRPr="00DE07C9" w:rsidRDefault="009E09E2" w:rsidP="009E09E2">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v:textbox>
              </v:shape>
            </w:pict>
          </mc:Fallback>
        </mc:AlternateContent>
      </w:r>
    </w:p>
    <w:p w:rsidR="009E09E2" w:rsidRPr="00016EF2" w:rsidRDefault="009E09E2" w:rsidP="00EF01E0">
      <w:pPr>
        <w:rPr>
          <w:szCs w:val="24"/>
          <w:lang w:val="en"/>
        </w:rPr>
      </w:pPr>
    </w:p>
    <w:p w:rsidR="00A870C1" w:rsidRDefault="00A870C1" w:rsidP="00EF01E0">
      <w:pPr>
        <w:rPr>
          <w:lang w:val="en"/>
        </w:rPr>
      </w:pPr>
    </w:p>
    <w:p w:rsidR="00A870C1" w:rsidRPr="00A870C1" w:rsidRDefault="00A870C1" w:rsidP="00EF01E0">
      <w:pPr>
        <w:rPr>
          <w:sz w:val="8"/>
          <w:szCs w:val="22"/>
        </w:rPr>
      </w:pPr>
    </w:p>
    <w:p w:rsidR="003972BF" w:rsidRDefault="00A870C1" w:rsidP="00EF01E0">
      <w:pPr>
        <w:rPr>
          <w:szCs w:val="22"/>
        </w:rPr>
      </w:pPr>
      <w:r w:rsidRPr="00017BFF">
        <w:rPr>
          <w:szCs w:val="22"/>
        </w:rPr>
        <w:t xml:space="preserve">NICE pathways allow users to navigate the breadth and depth of NICE recommendations on a given subject through topic-based </w:t>
      </w:r>
      <w:r>
        <w:rPr>
          <w:szCs w:val="22"/>
        </w:rPr>
        <w:t>flowcharts.</w:t>
      </w:r>
      <w:r w:rsidRPr="00017BFF">
        <w:rPr>
          <w:szCs w:val="22"/>
        </w:rPr>
        <w:t xml:space="preserve"> For each topic area, there are NICE guidelines, – clinical and/or public health – and </w:t>
      </w:r>
      <w:r>
        <w:rPr>
          <w:szCs w:val="22"/>
        </w:rPr>
        <w:t xml:space="preserve">their related quality standards. Each of the guidelines and quality standards will </w:t>
      </w:r>
      <w:r w:rsidRPr="00017BFF">
        <w:rPr>
          <w:szCs w:val="22"/>
        </w:rPr>
        <w:t>link to the tools and resources that NICE has produced to support the impl</w:t>
      </w:r>
      <w:r>
        <w:rPr>
          <w:szCs w:val="22"/>
        </w:rPr>
        <w:t>ementation of the guidance and improvement of practice</w:t>
      </w:r>
      <w:r w:rsidRPr="00017BFF">
        <w:rPr>
          <w:szCs w:val="22"/>
        </w:rPr>
        <w:t>.</w:t>
      </w:r>
    </w:p>
    <w:p w:rsidR="00A870C1" w:rsidRDefault="00A870C1" w:rsidP="00EF01E0">
      <w:pPr>
        <w:rPr>
          <w:szCs w:val="22"/>
        </w:rPr>
      </w:pPr>
    </w:p>
    <w:p w:rsidR="00A870C1" w:rsidRPr="00A870C1" w:rsidRDefault="00A870C1" w:rsidP="00EF01E0">
      <w:pPr>
        <w:rPr>
          <w:szCs w:val="22"/>
        </w:rPr>
      </w:pPr>
      <w:r>
        <w:rPr>
          <w:szCs w:val="22"/>
        </w:rPr>
        <w:t xml:space="preserve">This </w:t>
      </w:r>
      <w:hyperlink r:id="rId26" w:history="1">
        <w:r w:rsidRPr="00A870C1">
          <w:rPr>
            <w:rStyle w:val="Hyperlink"/>
            <w:b/>
            <w:szCs w:val="22"/>
          </w:rPr>
          <w:t>musculoskeletal conditions</w:t>
        </w:r>
      </w:hyperlink>
      <w:r>
        <w:rPr>
          <w:szCs w:val="22"/>
        </w:rPr>
        <w:t xml:space="preserve"> interactive pathway includes arthritis, bone and joint conditions, congenital conditions, maxillofacial conditions, soft tissue conditions and spinal and back conditions. It also links to the interactive flowcharts on low back pain and sciatica, osteoarthritis, osteoporosis and rheumatoid arthritis.</w:t>
      </w:r>
    </w:p>
    <w:p w:rsidR="009E09E2" w:rsidRPr="00016EF2" w:rsidRDefault="009E09E2" w:rsidP="00EF01E0"/>
    <w:p w:rsidR="009E09E2" w:rsidRPr="00016EF2" w:rsidRDefault="009E09E2" w:rsidP="00EF01E0">
      <w:pPr>
        <w:spacing w:before="240"/>
        <w:rPr>
          <w:b/>
          <w:szCs w:val="24"/>
          <w:lang w:eastAsia="en-GB"/>
        </w:rPr>
      </w:pPr>
      <w:r w:rsidRPr="00016EF2">
        <w:rPr>
          <w:noProof/>
          <w:szCs w:val="24"/>
          <w:lang w:eastAsia="en-GB"/>
        </w:rPr>
        <mc:AlternateContent>
          <mc:Choice Requires="wps">
            <w:drawing>
              <wp:anchor distT="0" distB="0" distL="114300" distR="114300" simplePos="0" relativeHeight="251667456" behindDoc="0" locked="0" layoutInCell="1" allowOverlap="1" wp14:anchorId="1548388E" wp14:editId="0EAE4C06">
                <wp:simplePos x="0" y="0"/>
                <wp:positionH relativeFrom="column">
                  <wp:posOffset>-762635</wp:posOffset>
                </wp:positionH>
                <wp:positionV relativeFrom="paragraph">
                  <wp:posOffset>101600</wp:posOffset>
                </wp:positionV>
                <wp:extent cx="7824470" cy="371475"/>
                <wp:effectExtent l="0" t="0" r="508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9E09E2" w:rsidRPr="00DE07C9" w:rsidRDefault="00811E73" w:rsidP="009E09E2">
                            <w:pPr>
                              <w:spacing w:line="480" w:lineRule="auto"/>
                              <w:ind w:left="720"/>
                              <w:rPr>
                                <w:b/>
                                <w:color w:val="FFFFFF" w:themeColor="background1"/>
                                <w:sz w:val="32"/>
                                <w:szCs w:val="32"/>
                              </w:rPr>
                            </w:pPr>
                            <w:r>
                              <w:rPr>
                                <w:b/>
                                <w:color w:val="FFFFFF" w:themeColor="background1"/>
                                <w:sz w:val="32"/>
                                <w:szCs w:val="32"/>
                              </w:rPr>
                              <w:t xml:space="preserve">    Initiatives and C</w:t>
                            </w:r>
                            <w:r w:rsidR="009E09E2">
                              <w:rPr>
                                <w:b/>
                                <w:color w:val="FFFFFF" w:themeColor="background1"/>
                                <w:sz w:val="32"/>
                                <w:szCs w:val="32"/>
                              </w:rPr>
                              <w:t>ampaigns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8388E" id="_x0000_s1029" type="#_x0000_t202" style="position:absolute;margin-left:-60.05pt;margin-top:8pt;width:616.1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4fEk2CUCAAAiBAAADgAAAAAAAAAAAAAAAAAuAgAAZHJzL2Uyb0Rv&#10;Yy54bWxQSwECLQAUAAYACAAAACEA3EJObN8AAAALAQAADwAAAAAAAAAAAAAAAAB/BAAAZHJzL2Rv&#10;d25yZXYueG1sUEsFBgAAAAAEAAQA8wAAAIsFAAAAAA==&#10;" fillcolor="#980029" stroked="f">
                <v:textbox>
                  <w:txbxContent>
                    <w:p w:rsidR="009E09E2" w:rsidRPr="00DE07C9" w:rsidRDefault="00811E73" w:rsidP="009E09E2">
                      <w:pPr>
                        <w:spacing w:line="480" w:lineRule="auto"/>
                        <w:ind w:left="720"/>
                        <w:rPr>
                          <w:b/>
                          <w:color w:val="FFFFFF" w:themeColor="background1"/>
                          <w:sz w:val="32"/>
                          <w:szCs w:val="32"/>
                        </w:rPr>
                      </w:pPr>
                      <w:r>
                        <w:rPr>
                          <w:b/>
                          <w:color w:val="FFFFFF" w:themeColor="background1"/>
                          <w:sz w:val="32"/>
                          <w:szCs w:val="32"/>
                        </w:rPr>
                        <w:t xml:space="preserve">    Initiatives and C</w:t>
                      </w:r>
                      <w:r w:rsidR="009E09E2">
                        <w:rPr>
                          <w:b/>
                          <w:color w:val="FFFFFF" w:themeColor="background1"/>
                          <w:sz w:val="32"/>
                          <w:szCs w:val="32"/>
                        </w:rPr>
                        <w:t>ampaigns</w:t>
                      </w:r>
                    </w:p>
                  </w:txbxContent>
                </v:textbox>
              </v:shape>
            </w:pict>
          </mc:Fallback>
        </mc:AlternateContent>
      </w:r>
    </w:p>
    <w:p w:rsidR="009E09E2" w:rsidRPr="00016EF2" w:rsidRDefault="009E09E2" w:rsidP="00EF01E0">
      <w:pPr>
        <w:rPr>
          <w:b/>
          <w:szCs w:val="24"/>
          <w:lang w:eastAsia="en-GB"/>
        </w:rPr>
      </w:pPr>
    </w:p>
    <w:p w:rsidR="00A870C1" w:rsidRPr="00A870C1" w:rsidRDefault="00A870C1" w:rsidP="00EF01E0">
      <w:pPr>
        <w:shd w:val="clear" w:color="auto" w:fill="FFFFFF"/>
        <w:rPr>
          <w:b/>
          <w:sz w:val="10"/>
          <w:szCs w:val="24"/>
          <w:lang w:eastAsia="en-GB"/>
        </w:rPr>
      </w:pPr>
    </w:p>
    <w:p w:rsidR="00A870C1" w:rsidRPr="00037E04" w:rsidRDefault="00A870C1" w:rsidP="00EF01E0">
      <w:pPr>
        <w:shd w:val="clear" w:color="auto" w:fill="FFFFFF"/>
        <w:rPr>
          <w:b/>
          <w:szCs w:val="24"/>
          <w:lang w:eastAsia="en-GB"/>
        </w:rPr>
      </w:pPr>
      <w:r w:rsidRPr="00037E04">
        <w:rPr>
          <w:b/>
          <w:szCs w:val="24"/>
          <w:lang w:eastAsia="en-GB"/>
        </w:rPr>
        <w:t xml:space="preserve">PHE One You - Social Marketing </w:t>
      </w:r>
      <w:r>
        <w:rPr>
          <w:b/>
          <w:szCs w:val="24"/>
          <w:lang w:eastAsia="en-GB"/>
        </w:rPr>
        <w:t>Programme</w:t>
      </w:r>
    </w:p>
    <w:p w:rsidR="00A870C1" w:rsidRPr="00087F0E" w:rsidRDefault="00A870C1" w:rsidP="00EF01E0">
      <w:pPr>
        <w:shd w:val="clear" w:color="auto" w:fill="FFFFFF"/>
        <w:rPr>
          <w:szCs w:val="24"/>
          <w:lang w:eastAsia="en-GB"/>
        </w:rPr>
      </w:pPr>
      <w:r w:rsidRPr="00087F0E">
        <w:rPr>
          <w:szCs w:val="24"/>
          <w:lang w:eastAsia="en-GB"/>
        </w:rPr>
        <w:t xml:space="preserve">Launched in March 2016, ‘One You’ </w:t>
      </w:r>
      <w:r>
        <w:rPr>
          <w:szCs w:val="24"/>
          <w:lang w:eastAsia="en-GB"/>
        </w:rPr>
        <w:t xml:space="preserve">encourages adults to take part in an </w:t>
      </w:r>
      <w:r w:rsidRPr="00087F0E">
        <w:rPr>
          <w:szCs w:val="24"/>
          <w:lang w:eastAsia="en-GB"/>
        </w:rPr>
        <w:t>online health quiz</w:t>
      </w:r>
      <w:r>
        <w:rPr>
          <w:szCs w:val="24"/>
          <w:lang w:eastAsia="en-GB"/>
        </w:rPr>
        <w:t>, called ‘How Are You?’,</w:t>
      </w:r>
      <w:r w:rsidRPr="00087F0E">
        <w:rPr>
          <w:szCs w:val="24"/>
          <w:lang w:eastAsia="en-GB"/>
        </w:rPr>
        <w:t xml:space="preserve"> which helps </w:t>
      </w:r>
      <w:r>
        <w:rPr>
          <w:szCs w:val="24"/>
          <w:lang w:eastAsia="en-GB"/>
        </w:rPr>
        <w:t>them</w:t>
      </w:r>
      <w:r w:rsidRPr="00087F0E">
        <w:rPr>
          <w:szCs w:val="24"/>
          <w:lang w:eastAsia="en-GB"/>
        </w:rPr>
        <w:t xml:space="preserve"> reassess their lifestyle choices. After completing the quiz, individuals can receive email reminders and resources to motivate them to make changes to lead a healthier lifestyle. ‘One You’ has its own </w:t>
      </w:r>
      <w:hyperlink r:id="rId27" w:history="1">
        <w:r w:rsidRPr="00087F0E">
          <w:rPr>
            <w:rStyle w:val="Hyperlink"/>
            <w:b/>
            <w:szCs w:val="24"/>
            <w:lang w:eastAsia="en-GB"/>
          </w:rPr>
          <w:t>website</w:t>
        </w:r>
      </w:hyperlink>
      <w:r w:rsidRPr="00087F0E">
        <w:rPr>
          <w:szCs w:val="24"/>
          <w:lang w:eastAsia="en-GB"/>
        </w:rPr>
        <w:t xml:space="preserve"> with a range of resources and free </w:t>
      </w:r>
      <w:hyperlink r:id="rId28" w:history="1">
        <w:r w:rsidRPr="00087F0E">
          <w:rPr>
            <w:rStyle w:val="Hyperlink"/>
            <w:b/>
            <w:szCs w:val="24"/>
            <w:lang w:eastAsia="en-GB"/>
          </w:rPr>
          <w:t>apps</w:t>
        </w:r>
      </w:hyperlink>
      <w:r w:rsidRPr="00087F0E">
        <w:rPr>
          <w:szCs w:val="24"/>
          <w:lang w:eastAsia="en-GB"/>
        </w:rPr>
        <w:t xml:space="preserve">. In the first year of its launch, there were 1.34 million completions of the quiz. Promotional materials can be downloaded and ordered for free from the PHE </w:t>
      </w:r>
      <w:hyperlink r:id="rId29" w:history="1">
        <w:r w:rsidRPr="00087F0E">
          <w:rPr>
            <w:rStyle w:val="Hyperlink"/>
            <w:b/>
            <w:szCs w:val="24"/>
            <w:lang w:eastAsia="en-GB"/>
          </w:rPr>
          <w:t>resource hub</w:t>
        </w:r>
      </w:hyperlink>
      <w:r w:rsidRPr="00087F0E">
        <w:rPr>
          <w:b/>
          <w:szCs w:val="24"/>
          <w:lang w:eastAsia="en-GB"/>
        </w:rPr>
        <w:t xml:space="preserve">. </w:t>
      </w:r>
    </w:p>
    <w:p w:rsidR="00A870C1" w:rsidRPr="00037E04" w:rsidRDefault="00A870C1" w:rsidP="00EF01E0">
      <w:pPr>
        <w:shd w:val="clear" w:color="auto" w:fill="FFFFFF"/>
        <w:rPr>
          <w:szCs w:val="24"/>
          <w:lang w:eastAsia="en-GB"/>
        </w:rPr>
      </w:pPr>
    </w:p>
    <w:p w:rsidR="00A870C1" w:rsidRPr="00037E04" w:rsidRDefault="00A870C1" w:rsidP="00EF01E0">
      <w:pPr>
        <w:shd w:val="clear" w:color="auto" w:fill="FFFFFF"/>
        <w:spacing w:after="240"/>
        <w:rPr>
          <w:szCs w:val="24"/>
          <w:lang w:eastAsia="en-GB"/>
        </w:rPr>
      </w:pPr>
      <w:r w:rsidRPr="00037E04">
        <w:rPr>
          <w:szCs w:val="24"/>
          <w:lang w:eastAsia="en-GB"/>
        </w:rPr>
        <w:t>Under the banner of ‘One You’, PHE has launched several campaigns covering different lifestyle choices and changes that can be made:</w:t>
      </w:r>
    </w:p>
    <w:p w:rsidR="00A870C1" w:rsidRPr="00305431" w:rsidRDefault="00A870C1" w:rsidP="00EF01E0">
      <w:pPr>
        <w:shd w:val="clear" w:color="auto" w:fill="FFFFFF"/>
        <w:spacing w:after="240"/>
        <w:ind w:left="2694"/>
        <w:rPr>
          <w:szCs w:val="24"/>
          <w:lang w:eastAsia="en-GB"/>
        </w:rPr>
      </w:pPr>
      <w:r w:rsidRPr="008C1EB5">
        <w:rPr>
          <w:b/>
          <w:noProof/>
          <w:u w:val="single"/>
        </w:rPr>
        <w:drawing>
          <wp:anchor distT="0" distB="0" distL="114300" distR="114300" simplePos="0" relativeHeight="251671552" behindDoc="0" locked="0" layoutInCell="1" allowOverlap="1" wp14:anchorId="4A8AC2A2" wp14:editId="4859979E">
            <wp:simplePos x="0" y="0"/>
            <wp:positionH relativeFrom="margin">
              <wp:align>left</wp:align>
            </wp:positionH>
            <wp:positionV relativeFrom="paragraph">
              <wp:posOffset>6985</wp:posOffset>
            </wp:positionV>
            <wp:extent cx="1564682" cy="396000"/>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564682" cy="396000"/>
                    </a:xfrm>
                    <a:prstGeom prst="rect">
                      <a:avLst/>
                    </a:prstGeom>
                  </pic:spPr>
                </pic:pic>
              </a:graphicData>
            </a:graphic>
          </wp:anchor>
        </w:drawing>
      </w:r>
      <w:hyperlink r:id="rId31" w:history="1">
        <w:r w:rsidRPr="008C1EB5">
          <w:rPr>
            <w:rStyle w:val="Hyperlink"/>
            <w:b/>
            <w:szCs w:val="24"/>
            <w:lang w:eastAsia="en-GB"/>
          </w:rPr>
          <w:t>Drink free days</w:t>
        </w:r>
      </w:hyperlink>
      <w:r w:rsidRPr="00F76C3D">
        <w:rPr>
          <w:rStyle w:val="Hyperlink"/>
          <w:color w:val="auto"/>
          <w:szCs w:val="24"/>
          <w:u w:val="none"/>
          <w:lang w:eastAsia="en-GB"/>
        </w:rPr>
        <w:t xml:space="preserve"> –</w:t>
      </w:r>
      <w:r w:rsidRPr="00F76C3D">
        <w:rPr>
          <w:rStyle w:val="Hyperlink"/>
          <w:color w:val="auto"/>
          <w:szCs w:val="24"/>
          <w:lang w:eastAsia="en-GB"/>
        </w:rPr>
        <w:t xml:space="preserve"> </w:t>
      </w:r>
      <w:r w:rsidRPr="00A870C1">
        <w:rPr>
          <w:rStyle w:val="Hyperlink"/>
          <w:color w:val="auto"/>
          <w:szCs w:val="24"/>
          <w:u w:val="none"/>
          <w:lang w:eastAsia="en-GB"/>
        </w:rPr>
        <w:t xml:space="preserve">PHE in association with Drinkaware, launched this campaign in September 2018 to help people, particularly </w:t>
      </w:r>
      <w:r w:rsidR="00811E73" w:rsidRPr="00A870C1">
        <w:rPr>
          <w:rStyle w:val="Hyperlink"/>
          <w:color w:val="auto"/>
          <w:szCs w:val="24"/>
          <w:u w:val="none"/>
          <w:lang w:eastAsia="en-GB"/>
        </w:rPr>
        <w:t>45-64-year</w:t>
      </w:r>
      <w:r w:rsidRPr="00A870C1">
        <w:rPr>
          <w:rStyle w:val="Hyperlink"/>
          <w:color w:val="auto"/>
          <w:szCs w:val="24"/>
          <w:u w:val="none"/>
          <w:lang w:eastAsia="en-GB"/>
        </w:rPr>
        <w:t xml:space="preserve"> olds, cut down on the amount of alcohol they are regularly drinking and to highlight that having more drink free days can reduce risks of serious conditions like CVD and improve their health.</w:t>
      </w:r>
      <w:r w:rsidRPr="00A870C1">
        <w:rPr>
          <w:rStyle w:val="Hyperlink"/>
          <w:color w:val="auto"/>
          <w:szCs w:val="24"/>
          <w:lang w:eastAsia="en-GB"/>
        </w:rPr>
        <w:t xml:space="preserve">  </w:t>
      </w:r>
    </w:p>
    <w:p w:rsidR="00A870C1" w:rsidRPr="00A870C1" w:rsidRDefault="00A870C1" w:rsidP="00EF01E0">
      <w:pPr>
        <w:pStyle w:val="ListParagraph"/>
        <w:shd w:val="clear" w:color="auto" w:fill="FFFFFF"/>
        <w:spacing w:line="240" w:lineRule="auto"/>
        <w:ind w:left="2694"/>
        <w:rPr>
          <w:rStyle w:val="Hyperlink"/>
          <w:rFonts w:ascii="Arial" w:hAnsi="Arial" w:cs="Arial"/>
          <w:color w:val="auto"/>
          <w:sz w:val="24"/>
          <w:szCs w:val="24"/>
          <w:u w:val="none"/>
          <w:lang w:eastAsia="en-GB"/>
        </w:rPr>
      </w:pPr>
      <w:r w:rsidRPr="008C1EB5">
        <w:rPr>
          <w:b/>
          <w:noProof/>
          <w:u w:val="single"/>
        </w:rPr>
        <w:drawing>
          <wp:anchor distT="0" distB="0" distL="114300" distR="114300" simplePos="0" relativeHeight="251672576" behindDoc="0" locked="0" layoutInCell="1" allowOverlap="1" wp14:anchorId="301A6F47" wp14:editId="012BB955">
            <wp:simplePos x="0" y="0"/>
            <wp:positionH relativeFrom="margin">
              <wp:align>left</wp:align>
            </wp:positionH>
            <wp:positionV relativeFrom="paragraph">
              <wp:posOffset>8255</wp:posOffset>
            </wp:positionV>
            <wp:extent cx="873553" cy="828000"/>
            <wp:effectExtent l="0" t="0" r="317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873553" cy="828000"/>
                    </a:xfrm>
                    <a:prstGeom prst="rect">
                      <a:avLst/>
                    </a:prstGeom>
                  </pic:spPr>
                </pic:pic>
              </a:graphicData>
            </a:graphic>
            <wp14:sizeRelH relativeFrom="margin">
              <wp14:pctWidth>0</wp14:pctWidth>
            </wp14:sizeRelH>
            <wp14:sizeRelV relativeFrom="margin">
              <wp14:pctHeight>0</wp14:pctHeight>
            </wp14:sizeRelV>
          </wp:anchor>
        </w:drawing>
      </w:r>
      <w:hyperlink r:id="rId33" w:history="1">
        <w:r w:rsidRPr="008C1EB5">
          <w:rPr>
            <w:rStyle w:val="Hyperlink"/>
            <w:rFonts w:ascii="Arial" w:hAnsi="Arial" w:cs="Arial"/>
            <w:b/>
            <w:sz w:val="24"/>
            <w:szCs w:val="24"/>
            <w:lang w:eastAsia="en-GB"/>
          </w:rPr>
          <w:t>Active 10</w:t>
        </w:r>
      </w:hyperlink>
      <w:r>
        <w:rPr>
          <w:rStyle w:val="Hyperlink"/>
          <w:rFonts w:ascii="Arial" w:hAnsi="Arial" w:cs="Arial"/>
          <w:sz w:val="24"/>
          <w:szCs w:val="24"/>
          <w:lang w:eastAsia="en-GB"/>
        </w:rPr>
        <w:t xml:space="preserve"> </w:t>
      </w:r>
      <w:r w:rsidRPr="00A870C1">
        <w:rPr>
          <w:rStyle w:val="Hyperlink"/>
          <w:rFonts w:ascii="Arial" w:hAnsi="Arial" w:cs="Arial"/>
          <w:color w:val="auto"/>
          <w:sz w:val="24"/>
          <w:szCs w:val="24"/>
          <w:u w:val="none"/>
          <w:lang w:eastAsia="en-GB"/>
        </w:rPr>
        <w:t>– Initially launched in March 2017 and re-launched in June 2018, this PHE campaign aims to combat physical inactivity and lower the risks of serious illnesses such as heart disease, by encouraging adults to incorporate more physical activity into their daily lives, by going for a brisk ten-minute walk (or more) each day.</w:t>
      </w:r>
    </w:p>
    <w:p w:rsidR="00A870C1" w:rsidRPr="00305431" w:rsidRDefault="00EF01E0" w:rsidP="00EF01E0">
      <w:pPr>
        <w:pStyle w:val="ListParagraph"/>
        <w:shd w:val="clear" w:color="auto" w:fill="FFFFFF"/>
        <w:spacing w:after="0" w:line="240" w:lineRule="auto"/>
        <w:ind w:left="2694"/>
        <w:rPr>
          <w:rFonts w:ascii="Arial" w:hAnsi="Arial" w:cs="Arial"/>
          <w:sz w:val="24"/>
          <w:szCs w:val="24"/>
          <w:lang w:eastAsia="en-GB"/>
        </w:rPr>
      </w:pPr>
      <w:r w:rsidRPr="008C1EB5">
        <w:rPr>
          <w:b/>
          <w:noProof/>
          <w:u w:val="single"/>
        </w:rPr>
        <w:drawing>
          <wp:anchor distT="0" distB="0" distL="114300" distR="114300" simplePos="0" relativeHeight="251673600" behindDoc="0" locked="0" layoutInCell="1" allowOverlap="1" wp14:anchorId="0571B0BF" wp14:editId="75965212">
            <wp:simplePos x="0" y="0"/>
            <wp:positionH relativeFrom="margin">
              <wp:align>left</wp:align>
            </wp:positionH>
            <wp:positionV relativeFrom="paragraph">
              <wp:posOffset>134620</wp:posOffset>
            </wp:positionV>
            <wp:extent cx="1300941" cy="115252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300941" cy="1152525"/>
                    </a:xfrm>
                    <a:prstGeom prst="rect">
                      <a:avLst/>
                    </a:prstGeom>
                  </pic:spPr>
                </pic:pic>
              </a:graphicData>
            </a:graphic>
            <wp14:sizeRelH relativeFrom="margin">
              <wp14:pctWidth>0</wp14:pctWidth>
            </wp14:sizeRelH>
            <wp14:sizeRelV relativeFrom="margin">
              <wp14:pctHeight>0</wp14:pctHeight>
            </wp14:sizeRelV>
          </wp:anchor>
        </w:drawing>
      </w:r>
    </w:p>
    <w:p w:rsidR="00A870C1" w:rsidRPr="00305431" w:rsidRDefault="00D24DF2" w:rsidP="00EF01E0">
      <w:pPr>
        <w:shd w:val="clear" w:color="auto" w:fill="FFFFFF"/>
        <w:spacing w:after="240"/>
        <w:ind w:left="2694"/>
        <w:rPr>
          <w:szCs w:val="24"/>
          <w:lang w:eastAsia="en-GB"/>
        </w:rPr>
      </w:pPr>
      <w:hyperlink r:id="rId35" w:history="1">
        <w:r w:rsidR="00A870C1" w:rsidRPr="008C1EB5">
          <w:rPr>
            <w:rStyle w:val="Hyperlink"/>
            <w:b/>
            <w:szCs w:val="24"/>
            <w:lang w:eastAsia="en-GB"/>
          </w:rPr>
          <w:t>400-600-600</w:t>
        </w:r>
      </w:hyperlink>
      <w:r w:rsidR="00A870C1" w:rsidRPr="00F76C3D">
        <w:rPr>
          <w:rStyle w:val="Hyperlink"/>
          <w:color w:val="auto"/>
          <w:szCs w:val="24"/>
          <w:u w:val="none"/>
          <w:lang w:eastAsia="en-GB"/>
        </w:rPr>
        <w:t xml:space="preserve"> – Adults are consuming on average an extra 200-300 calories per day. This ‘calorie creep’ contributes to two thirds of adults being overweight or obese, which can in turn lead to serious CVD conditions. This PHE campaign was launched in March 2018, to help adults manage the ‘calorie creep’ by providing simple tips to help them make healthier choices whilst on the go. The aim is around 400 calories for breakfast, 600 for lunch and 600 for dinner, plus a couple of healthier snacks and drinks in-between. </w:t>
      </w:r>
    </w:p>
    <w:p w:rsidR="00A870C1" w:rsidRPr="00F76C3D" w:rsidRDefault="00A870C1" w:rsidP="00EF01E0">
      <w:pPr>
        <w:shd w:val="clear" w:color="auto" w:fill="FFFFFF"/>
        <w:spacing w:after="240"/>
        <w:ind w:left="2694"/>
        <w:rPr>
          <w:szCs w:val="24"/>
          <w:lang w:eastAsia="en-GB"/>
        </w:rPr>
      </w:pPr>
      <w:r w:rsidRPr="008C1EB5">
        <w:rPr>
          <w:b/>
          <w:noProof/>
          <w:u w:val="single"/>
        </w:rPr>
        <w:drawing>
          <wp:anchor distT="0" distB="0" distL="114300" distR="114300" simplePos="0" relativeHeight="251674624" behindDoc="0" locked="0" layoutInCell="1" allowOverlap="1" wp14:anchorId="22D77B34" wp14:editId="3F9E3B74">
            <wp:simplePos x="0" y="0"/>
            <wp:positionH relativeFrom="column">
              <wp:posOffset>-3810</wp:posOffset>
            </wp:positionH>
            <wp:positionV relativeFrom="paragraph">
              <wp:posOffset>6985</wp:posOffset>
            </wp:positionV>
            <wp:extent cx="1566000" cy="770438"/>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566000" cy="770438"/>
                    </a:xfrm>
                    <a:prstGeom prst="rect">
                      <a:avLst/>
                    </a:prstGeom>
                  </pic:spPr>
                </pic:pic>
              </a:graphicData>
            </a:graphic>
            <wp14:sizeRelH relativeFrom="margin">
              <wp14:pctWidth>0</wp14:pctWidth>
            </wp14:sizeRelH>
            <wp14:sizeRelV relativeFrom="margin">
              <wp14:pctHeight>0</wp14:pctHeight>
            </wp14:sizeRelV>
          </wp:anchor>
        </w:drawing>
      </w:r>
      <w:hyperlink r:id="rId37" w:history="1">
        <w:r w:rsidRPr="008C1EB5">
          <w:rPr>
            <w:rStyle w:val="Hyperlink"/>
            <w:b/>
            <w:szCs w:val="24"/>
            <w:lang w:eastAsia="en-GB"/>
          </w:rPr>
          <w:t>Stoptober</w:t>
        </w:r>
      </w:hyperlink>
      <w:r w:rsidRPr="00F76C3D">
        <w:rPr>
          <w:rStyle w:val="Hyperlink"/>
          <w:color w:val="auto"/>
          <w:szCs w:val="24"/>
          <w:u w:val="none"/>
          <w:lang w:eastAsia="en-GB"/>
        </w:rPr>
        <w:t xml:space="preserve"> – Originally launched in October 2012, this PHE 28-day stop smoking challenge, encourages and supports smokers across England towards quitting for good. There are lots of ways to quit and Stoptober can help people choose what works for them and provides free support along the way. </w:t>
      </w:r>
    </w:p>
    <w:p w:rsidR="009E09E2" w:rsidRPr="00F76C3D" w:rsidRDefault="00A870C1" w:rsidP="00EF01E0">
      <w:pPr>
        <w:ind w:left="2694"/>
      </w:pPr>
      <w:r>
        <w:rPr>
          <w:noProof/>
        </w:rPr>
        <w:drawing>
          <wp:anchor distT="0" distB="0" distL="114300" distR="114300" simplePos="0" relativeHeight="251675648" behindDoc="0" locked="0" layoutInCell="1" allowOverlap="1" wp14:anchorId="345BA882" wp14:editId="3B5C5520">
            <wp:simplePos x="0" y="0"/>
            <wp:positionH relativeFrom="margin">
              <wp:align>left</wp:align>
            </wp:positionH>
            <wp:positionV relativeFrom="paragraph">
              <wp:posOffset>3175</wp:posOffset>
            </wp:positionV>
            <wp:extent cx="1566000" cy="674822"/>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566000" cy="674822"/>
                    </a:xfrm>
                    <a:prstGeom prst="rect">
                      <a:avLst/>
                    </a:prstGeom>
                  </pic:spPr>
                </pic:pic>
              </a:graphicData>
            </a:graphic>
            <wp14:sizeRelH relativeFrom="margin">
              <wp14:pctWidth>0</wp14:pctWidth>
            </wp14:sizeRelH>
            <wp14:sizeRelV relativeFrom="margin">
              <wp14:pctHeight>0</wp14:pctHeight>
            </wp14:sizeRelV>
          </wp:anchor>
        </w:drawing>
      </w:r>
      <w:hyperlink r:id="rId39" w:history="1">
        <w:r w:rsidRPr="0042379F">
          <w:rPr>
            <w:rStyle w:val="Hyperlink"/>
            <w:b/>
            <w:szCs w:val="24"/>
            <w:lang w:eastAsia="en-GB"/>
          </w:rPr>
          <w:t>Heart Age Test</w:t>
        </w:r>
      </w:hyperlink>
      <w:r w:rsidRPr="00F76C3D">
        <w:rPr>
          <w:rStyle w:val="Hyperlink"/>
          <w:color w:val="auto"/>
          <w:szCs w:val="24"/>
          <w:u w:val="none"/>
          <w:lang w:eastAsia="en-GB"/>
        </w:rPr>
        <w:t xml:space="preserve"> – This tool is a collaboration between NHS, PHE, the British Heart Foundation and UCL. It was relaunched in September 2018 and is an ‘always-on’ campaign. This simple online test helps individuals compare their heart age to their real age and explains the importance of knowing their blood pressure and cholesterol numbers. The test can still be completed if these numbers are not known. As part of the results, it also provides individuals with advice on how to lower their heart age and reduce their risk of heart attack and stroke.</w:t>
      </w:r>
    </w:p>
    <w:p w:rsidR="00986155" w:rsidRPr="00016EF2" w:rsidRDefault="00986155" w:rsidP="00EF01E0"/>
    <w:p w:rsidR="00986155" w:rsidRDefault="00F76C3D" w:rsidP="00EF01E0">
      <w:pPr>
        <w:rPr>
          <w:b/>
          <w:u w:val="single"/>
        </w:rPr>
      </w:pPr>
      <w:r w:rsidRPr="00F76C3D">
        <w:rPr>
          <w:b/>
        </w:rPr>
        <w:t>We Are Undefeat</w:t>
      </w:r>
      <w:r w:rsidRPr="00F76C3D">
        <w:rPr>
          <w:b/>
          <w:u w:val="single"/>
        </w:rPr>
        <w:t>able</w:t>
      </w:r>
    </w:p>
    <w:p w:rsidR="00F76C3D" w:rsidRDefault="00F76C3D" w:rsidP="00EF01E0">
      <w:r>
        <w:t xml:space="preserve">This </w:t>
      </w:r>
      <w:hyperlink r:id="rId40" w:history="1">
        <w:r w:rsidRPr="00F76C3D">
          <w:rPr>
            <w:rStyle w:val="Hyperlink"/>
            <w:b/>
          </w:rPr>
          <w:t>national campaign</w:t>
        </w:r>
      </w:hyperlink>
      <w:r>
        <w:t xml:space="preserve"> launched in August 2019 aims to support and empower the 15 million people who live with one or more long-term health condition, in England, to be more active. The campaign is led by a collaboration of 15 health and social care charities (Richmond Group of Charities) and Sport England. </w:t>
      </w:r>
      <w:r w:rsidR="001F408C">
        <w:t xml:space="preserve">To help support the campaign locally, you can download and order a range of materials from the </w:t>
      </w:r>
      <w:hyperlink r:id="rId41" w:history="1">
        <w:r w:rsidR="001F408C" w:rsidRPr="001F408C">
          <w:rPr>
            <w:rStyle w:val="Hyperlink"/>
            <w:b/>
          </w:rPr>
          <w:t>PHE campaign resource hub</w:t>
        </w:r>
      </w:hyperlink>
      <w:r w:rsidR="001F408C">
        <w:t>.</w:t>
      </w:r>
    </w:p>
    <w:p w:rsidR="00A816D6" w:rsidRPr="00F76C3D" w:rsidRDefault="00A816D6" w:rsidP="00EF01E0"/>
    <w:p w:rsidR="00EF01E0" w:rsidRPr="00016EF2" w:rsidRDefault="00EF01E0" w:rsidP="00EF01E0">
      <w:pPr>
        <w:spacing w:before="240"/>
        <w:rPr>
          <w:b/>
          <w:szCs w:val="24"/>
          <w:lang w:eastAsia="en-GB"/>
        </w:rPr>
      </w:pPr>
      <w:r w:rsidRPr="00016EF2">
        <w:rPr>
          <w:noProof/>
          <w:szCs w:val="24"/>
          <w:lang w:eastAsia="en-GB"/>
        </w:rPr>
        <mc:AlternateContent>
          <mc:Choice Requires="wps">
            <w:drawing>
              <wp:anchor distT="0" distB="0" distL="114300" distR="114300" simplePos="0" relativeHeight="251677696" behindDoc="0" locked="0" layoutInCell="1" allowOverlap="1" wp14:anchorId="359E1DD9" wp14:editId="0DEBF011">
                <wp:simplePos x="0" y="0"/>
                <wp:positionH relativeFrom="column">
                  <wp:posOffset>-762635</wp:posOffset>
                </wp:positionH>
                <wp:positionV relativeFrom="paragraph">
                  <wp:posOffset>101600</wp:posOffset>
                </wp:positionV>
                <wp:extent cx="7824470" cy="371475"/>
                <wp:effectExtent l="0" t="0" r="508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EF01E0" w:rsidRPr="00DE07C9" w:rsidRDefault="00EF01E0" w:rsidP="00EF01E0">
                            <w:pPr>
                              <w:spacing w:line="480" w:lineRule="auto"/>
                              <w:ind w:left="720"/>
                              <w:rPr>
                                <w:b/>
                                <w:color w:val="FFFFFF" w:themeColor="background1"/>
                                <w:sz w:val="32"/>
                                <w:szCs w:val="32"/>
                              </w:rPr>
                            </w:pPr>
                            <w:r>
                              <w:rPr>
                                <w:b/>
                                <w:color w:val="FFFFFF" w:themeColor="background1"/>
                                <w:sz w:val="32"/>
                                <w:szCs w:val="32"/>
                              </w:rPr>
                              <w:t xml:space="preserve">    </w:t>
                            </w:r>
                            <w:r w:rsidR="00811E73">
                              <w:rPr>
                                <w:b/>
                                <w:color w:val="FFFFFF" w:themeColor="background1"/>
                                <w:sz w:val="32"/>
                                <w:szCs w:val="32"/>
                              </w:rPr>
                              <w:t>Training o</w:t>
                            </w:r>
                            <w:r>
                              <w:rPr>
                                <w:b/>
                                <w:color w:val="FFFFFF" w:themeColor="background1"/>
                                <w:sz w:val="32"/>
                                <w:szCs w:val="32"/>
                              </w:rPr>
                              <w:t>pportunities</w:t>
                            </w:r>
                            <w:r w:rsidR="008E484F">
                              <w:rPr>
                                <w:b/>
                                <w:color w:val="FFFFFF" w:themeColor="background1"/>
                                <w:sz w:val="32"/>
                                <w:szCs w:val="32"/>
                              </w:rPr>
                              <w:t xml:space="preserve"> and sharing knowledge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E1DD9" id="_x0000_t202" coordsize="21600,21600" o:spt="202" path="m,l,21600r21600,l21600,xe">
                <v:stroke joinstyle="miter"/>
                <v:path gradientshapeok="t" o:connecttype="rect"/>
              </v:shapetype>
              <v:shape id="_x0000_s1030" type="#_x0000_t202" style="position:absolute;margin-left:-60.05pt;margin-top:8pt;width:616.1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FgH1eiUCAAAiBAAADgAAAAAAAAAAAAAAAAAuAgAAZHJzL2Uyb0Rv&#10;Yy54bWxQSwECLQAUAAYACAAAACEA3EJObN8AAAALAQAADwAAAAAAAAAAAAAAAAB/BAAAZHJzL2Rv&#10;d25yZXYueG1sUEsFBgAAAAAEAAQA8wAAAIsFAAAAAA==&#10;" fillcolor="#980029" stroked="f">
                <v:textbox>
                  <w:txbxContent>
                    <w:p w:rsidR="00EF01E0" w:rsidRPr="00DE07C9" w:rsidRDefault="00EF01E0" w:rsidP="00EF01E0">
                      <w:pPr>
                        <w:spacing w:line="480" w:lineRule="auto"/>
                        <w:ind w:left="720"/>
                        <w:rPr>
                          <w:b/>
                          <w:color w:val="FFFFFF" w:themeColor="background1"/>
                          <w:sz w:val="32"/>
                          <w:szCs w:val="32"/>
                        </w:rPr>
                      </w:pPr>
                      <w:r>
                        <w:rPr>
                          <w:b/>
                          <w:color w:val="FFFFFF" w:themeColor="background1"/>
                          <w:sz w:val="32"/>
                          <w:szCs w:val="32"/>
                        </w:rPr>
                        <w:t xml:space="preserve">    </w:t>
                      </w:r>
                      <w:r w:rsidR="00811E73">
                        <w:rPr>
                          <w:b/>
                          <w:color w:val="FFFFFF" w:themeColor="background1"/>
                          <w:sz w:val="32"/>
                          <w:szCs w:val="32"/>
                        </w:rPr>
                        <w:t>Training o</w:t>
                      </w:r>
                      <w:r>
                        <w:rPr>
                          <w:b/>
                          <w:color w:val="FFFFFF" w:themeColor="background1"/>
                          <w:sz w:val="32"/>
                          <w:szCs w:val="32"/>
                        </w:rPr>
                        <w:t>pportunities</w:t>
                      </w:r>
                      <w:r w:rsidR="008E484F">
                        <w:rPr>
                          <w:b/>
                          <w:color w:val="FFFFFF" w:themeColor="background1"/>
                          <w:sz w:val="32"/>
                          <w:szCs w:val="32"/>
                        </w:rPr>
                        <w:t xml:space="preserve"> and sharing knowledge</w:t>
                      </w:r>
                    </w:p>
                  </w:txbxContent>
                </v:textbox>
              </v:shape>
            </w:pict>
          </mc:Fallback>
        </mc:AlternateContent>
      </w:r>
    </w:p>
    <w:p w:rsidR="00EF01E0" w:rsidRPr="00016EF2" w:rsidRDefault="00EF01E0" w:rsidP="00EF01E0">
      <w:pPr>
        <w:rPr>
          <w:b/>
          <w:szCs w:val="24"/>
          <w:lang w:eastAsia="en-GB"/>
        </w:rPr>
      </w:pPr>
    </w:p>
    <w:p w:rsidR="00A816D6" w:rsidRPr="00A816D6" w:rsidRDefault="00A816D6" w:rsidP="00EF01E0">
      <w:pPr>
        <w:rPr>
          <w:b/>
          <w:sz w:val="10"/>
        </w:rPr>
      </w:pPr>
    </w:p>
    <w:p w:rsidR="00F76C3D" w:rsidRPr="00A816D6" w:rsidRDefault="00EF01E0" w:rsidP="00EF01E0">
      <w:pPr>
        <w:rPr>
          <w:b/>
        </w:rPr>
      </w:pPr>
      <w:r w:rsidRPr="00A816D6">
        <w:rPr>
          <w:b/>
        </w:rPr>
        <w:t>Musculoskeletal Primary Care Programme</w:t>
      </w:r>
    </w:p>
    <w:p w:rsidR="00EF01E0" w:rsidRDefault="00EF01E0" w:rsidP="00EF01E0">
      <w:r>
        <w:t xml:space="preserve">This </w:t>
      </w:r>
      <w:hyperlink r:id="rId42" w:history="1">
        <w:r w:rsidRPr="00A816D6">
          <w:rPr>
            <w:rStyle w:val="Hyperlink"/>
            <w:b/>
          </w:rPr>
          <w:t>e-learning programme</w:t>
        </w:r>
      </w:hyperlink>
      <w:r>
        <w:t xml:space="preserve"> </w:t>
      </w:r>
      <w:r w:rsidR="00A816D6">
        <w:t xml:space="preserve">consists of 8 sessions and has been developed by Health Education England to support the musculoskeletal core capabilities framework in primary care. It is therefore aimed at supporting clinicians who are working in primary care and first contact practitioners. </w:t>
      </w:r>
    </w:p>
    <w:p w:rsidR="00A816D6" w:rsidRDefault="00A816D6" w:rsidP="00EF01E0"/>
    <w:p w:rsidR="008E484F" w:rsidRDefault="008E484F" w:rsidP="00EF01E0">
      <w:r>
        <w:t>PHE Musculoskeletal Health Knowledge Hub Group</w:t>
      </w:r>
    </w:p>
    <w:p w:rsidR="008E484F" w:rsidRDefault="008E484F" w:rsidP="00EF01E0">
      <w:r>
        <w:t>This</w:t>
      </w:r>
      <w:r w:rsidRPr="008E484F">
        <w:rPr>
          <w:b/>
        </w:rPr>
        <w:t xml:space="preserve"> </w:t>
      </w:r>
      <w:hyperlink r:id="rId43" w:history="1">
        <w:r w:rsidRPr="008E484F">
          <w:rPr>
            <w:rStyle w:val="Hyperlink"/>
            <w:b/>
          </w:rPr>
          <w:t>Khub group</w:t>
        </w:r>
      </w:hyperlink>
      <w:r>
        <w:rPr>
          <w:b/>
        </w:rPr>
        <w:t xml:space="preserve"> </w:t>
      </w:r>
      <w:r>
        <w:t>is an open group for those interested in MSK health and wellbeing. You can join the group to share knowledge and keep up-to-date with the latest news, events and information.</w:t>
      </w:r>
    </w:p>
    <w:p w:rsidR="008E484F" w:rsidRPr="008E484F" w:rsidRDefault="008E484F" w:rsidP="00EF01E0"/>
    <w:p w:rsidR="00986155" w:rsidRPr="00016EF2" w:rsidRDefault="00986155" w:rsidP="00EF01E0">
      <w:pPr>
        <w:spacing w:before="240"/>
        <w:rPr>
          <w:b/>
          <w:szCs w:val="24"/>
          <w:lang w:eastAsia="en-GB"/>
        </w:rPr>
      </w:pPr>
      <w:r w:rsidRPr="00016EF2">
        <w:rPr>
          <w:noProof/>
          <w:szCs w:val="24"/>
          <w:lang w:eastAsia="en-GB"/>
        </w:rPr>
        <mc:AlternateContent>
          <mc:Choice Requires="wps">
            <w:drawing>
              <wp:anchor distT="0" distB="0" distL="114300" distR="114300" simplePos="0" relativeHeight="251669504" behindDoc="0" locked="0" layoutInCell="1" allowOverlap="1" wp14:anchorId="386F2AB4" wp14:editId="1BC60533">
                <wp:simplePos x="0" y="0"/>
                <wp:positionH relativeFrom="column">
                  <wp:posOffset>-762635</wp:posOffset>
                </wp:positionH>
                <wp:positionV relativeFrom="paragraph">
                  <wp:posOffset>101600</wp:posOffset>
                </wp:positionV>
                <wp:extent cx="7824470" cy="371475"/>
                <wp:effectExtent l="0" t="0" r="508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986155" w:rsidRPr="00DE07C9" w:rsidRDefault="00986155" w:rsidP="00986155">
                            <w:pPr>
                              <w:spacing w:line="480" w:lineRule="auto"/>
                              <w:ind w:left="720"/>
                              <w:rPr>
                                <w:b/>
                                <w:color w:val="FFFFFF" w:themeColor="background1"/>
                                <w:sz w:val="32"/>
                                <w:szCs w:val="32"/>
                              </w:rPr>
                            </w:pPr>
                            <w:r>
                              <w:rPr>
                                <w:b/>
                                <w:color w:val="FFFFFF" w:themeColor="background1"/>
                                <w:sz w:val="32"/>
                                <w:szCs w:val="32"/>
                              </w:rPr>
                              <w:t xml:space="preserve">    </w:t>
                            </w:r>
                            <w:r w:rsidR="00811E73">
                              <w:rPr>
                                <w:b/>
                                <w:color w:val="FFFFFF" w:themeColor="background1"/>
                                <w:sz w:val="32"/>
                                <w:szCs w:val="32"/>
                              </w:rPr>
                              <w:t>Other briefings in the series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F2AB4" id="_x0000_s1031" type="#_x0000_t202" style="position:absolute;margin-left:-60.05pt;margin-top:8pt;width:616.1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" fillcolor="#980029" stroked="f">
                <v:textbox>
                  <w:txbxContent>
                    <w:p w:rsidR="00986155" w:rsidRPr="00DE07C9" w:rsidRDefault="00986155" w:rsidP="00986155">
                      <w:pPr>
                        <w:spacing w:line="480" w:lineRule="auto"/>
                        <w:ind w:left="720"/>
                        <w:rPr>
                          <w:b/>
                          <w:color w:val="FFFFFF" w:themeColor="background1"/>
                          <w:sz w:val="32"/>
                          <w:szCs w:val="32"/>
                        </w:rPr>
                      </w:pPr>
                      <w:r>
                        <w:rPr>
                          <w:b/>
                          <w:color w:val="FFFFFF" w:themeColor="background1"/>
                          <w:sz w:val="32"/>
                          <w:szCs w:val="32"/>
                        </w:rPr>
                        <w:t xml:space="preserve">    </w:t>
                      </w:r>
                      <w:r w:rsidR="00811E73">
                        <w:rPr>
                          <w:b/>
                          <w:color w:val="FFFFFF" w:themeColor="background1"/>
                          <w:sz w:val="32"/>
                          <w:szCs w:val="32"/>
                        </w:rPr>
                        <w:t>Other briefings in the series</w:t>
                      </w:r>
                    </w:p>
                  </w:txbxContent>
                </v:textbox>
              </v:shape>
            </w:pict>
          </mc:Fallback>
        </mc:AlternateContent>
      </w:r>
    </w:p>
    <w:p w:rsidR="00986155" w:rsidRPr="00016EF2" w:rsidRDefault="00986155" w:rsidP="00EF01E0">
      <w:pPr>
        <w:rPr>
          <w:b/>
          <w:szCs w:val="24"/>
          <w:lang w:eastAsia="en-GB"/>
        </w:rPr>
      </w:pPr>
    </w:p>
    <w:p w:rsidR="00986155" w:rsidRPr="00A816D6" w:rsidRDefault="00986155" w:rsidP="00EF01E0">
      <w:pPr>
        <w:rPr>
          <w:sz w:val="10"/>
        </w:rPr>
      </w:pPr>
    </w:p>
    <w:p w:rsidR="00EF01E0" w:rsidRDefault="00EF01E0" w:rsidP="008E484F">
      <w:pPr>
        <w:shd w:val="clear" w:color="auto" w:fill="FFFFFF"/>
        <w:spacing w:before="240"/>
        <w:rPr>
          <w:szCs w:val="24"/>
          <w:lang w:eastAsia="en-GB"/>
        </w:rPr>
      </w:pPr>
      <w:r>
        <w:rPr>
          <w:szCs w:val="24"/>
          <w:lang w:eastAsia="en-GB"/>
        </w:rPr>
        <w:t>There are several briefing documents in this series which relate to MSK health and will be updated on a regular basis. These include:</w:t>
      </w:r>
    </w:p>
    <w:p w:rsidR="00EF01E0" w:rsidRPr="00EF01E0" w:rsidRDefault="00D24DF2" w:rsidP="00EF01E0">
      <w:pPr>
        <w:pStyle w:val="ListParagraph"/>
        <w:numPr>
          <w:ilvl w:val="0"/>
          <w:numId w:val="1"/>
        </w:numPr>
        <w:shd w:val="clear" w:color="auto" w:fill="FFFFFF"/>
        <w:spacing w:line="240" w:lineRule="auto"/>
        <w:rPr>
          <w:rStyle w:val="Hyperlink"/>
          <w:rFonts w:ascii="Arial" w:hAnsi="Arial" w:cs="Arial"/>
          <w:b/>
          <w:color w:val="auto"/>
          <w:sz w:val="24"/>
          <w:szCs w:val="24"/>
          <w:u w:val="none"/>
          <w:lang w:eastAsia="en-GB"/>
        </w:rPr>
      </w:pPr>
      <w:hyperlink r:id="rId44" w:history="1">
        <w:r w:rsidR="00EF01E0" w:rsidRPr="00EF01E0">
          <w:rPr>
            <w:rStyle w:val="Hyperlink"/>
            <w:rFonts w:ascii="Arial" w:hAnsi="Arial" w:cs="Arial"/>
            <w:b/>
            <w:sz w:val="24"/>
            <w:szCs w:val="24"/>
            <w:lang w:eastAsia="en-GB"/>
          </w:rPr>
          <w:t>Dementia and Healthy Ageing</w:t>
        </w:r>
      </w:hyperlink>
    </w:p>
    <w:p w:rsidR="00EF01E0" w:rsidRPr="00EF01E0" w:rsidRDefault="00D24DF2" w:rsidP="00EF01E0">
      <w:pPr>
        <w:pStyle w:val="ListParagraph"/>
        <w:numPr>
          <w:ilvl w:val="0"/>
          <w:numId w:val="1"/>
        </w:numPr>
        <w:shd w:val="clear" w:color="auto" w:fill="FFFFFF"/>
        <w:spacing w:line="240" w:lineRule="auto"/>
        <w:rPr>
          <w:rFonts w:ascii="Arial" w:hAnsi="Arial" w:cs="Arial"/>
          <w:b/>
          <w:sz w:val="24"/>
          <w:szCs w:val="24"/>
          <w:lang w:eastAsia="en-GB"/>
        </w:rPr>
      </w:pPr>
      <w:hyperlink r:id="rId45" w:history="1">
        <w:r w:rsidR="00EF01E0" w:rsidRPr="00EF01E0">
          <w:rPr>
            <w:rStyle w:val="Hyperlink"/>
            <w:rFonts w:ascii="Arial" w:hAnsi="Arial" w:cs="Arial"/>
            <w:b/>
            <w:sz w:val="24"/>
            <w:szCs w:val="24"/>
          </w:rPr>
          <w:t>Making Every Contact Count</w:t>
        </w:r>
      </w:hyperlink>
    </w:p>
    <w:p w:rsidR="00EF01E0" w:rsidRPr="00EF01E0" w:rsidRDefault="00D24DF2" w:rsidP="00EF01E0">
      <w:pPr>
        <w:pStyle w:val="ListParagraph"/>
        <w:numPr>
          <w:ilvl w:val="0"/>
          <w:numId w:val="1"/>
        </w:numPr>
        <w:shd w:val="clear" w:color="auto" w:fill="FFFFFF"/>
        <w:spacing w:line="240" w:lineRule="auto"/>
        <w:rPr>
          <w:rFonts w:ascii="Arial" w:hAnsi="Arial" w:cs="Arial"/>
          <w:b/>
          <w:sz w:val="24"/>
          <w:szCs w:val="24"/>
          <w:lang w:eastAsia="en-GB"/>
        </w:rPr>
      </w:pPr>
      <w:hyperlink r:id="rId46" w:history="1">
        <w:r w:rsidR="00EF01E0" w:rsidRPr="00EF01E0">
          <w:rPr>
            <w:rStyle w:val="Hyperlink"/>
            <w:rFonts w:ascii="Arial" w:hAnsi="Arial" w:cs="Arial"/>
            <w:b/>
            <w:sz w:val="24"/>
            <w:szCs w:val="24"/>
            <w:lang w:eastAsia="en-GB"/>
          </w:rPr>
          <w:t>Obesity Prevention</w:t>
        </w:r>
      </w:hyperlink>
    </w:p>
    <w:p w:rsidR="00EF01E0" w:rsidRPr="00EF01E0" w:rsidRDefault="00D24DF2" w:rsidP="00EF01E0">
      <w:pPr>
        <w:pStyle w:val="ListParagraph"/>
        <w:numPr>
          <w:ilvl w:val="0"/>
          <w:numId w:val="1"/>
        </w:numPr>
        <w:shd w:val="clear" w:color="auto" w:fill="FFFFFF"/>
        <w:spacing w:line="240" w:lineRule="auto"/>
        <w:rPr>
          <w:rFonts w:ascii="Arial" w:hAnsi="Arial" w:cs="Arial"/>
          <w:b/>
          <w:sz w:val="24"/>
          <w:szCs w:val="24"/>
          <w:lang w:eastAsia="en-GB"/>
        </w:rPr>
      </w:pPr>
      <w:hyperlink r:id="rId47" w:history="1">
        <w:r w:rsidR="00EF01E0" w:rsidRPr="00EF01E0">
          <w:rPr>
            <w:rStyle w:val="Hyperlink"/>
            <w:rFonts w:ascii="Arial" w:hAnsi="Arial" w:cs="Arial"/>
            <w:b/>
            <w:sz w:val="24"/>
            <w:szCs w:val="24"/>
            <w:lang w:eastAsia="en-GB"/>
          </w:rPr>
          <w:t>Physical Activity</w:t>
        </w:r>
      </w:hyperlink>
    </w:p>
    <w:p w:rsidR="00EF01E0" w:rsidRDefault="00EF01E0" w:rsidP="00EF01E0">
      <w:pPr>
        <w:shd w:val="clear" w:color="auto" w:fill="FFFFFF"/>
        <w:rPr>
          <w:szCs w:val="24"/>
          <w:lang w:eastAsia="en-GB"/>
        </w:rPr>
      </w:pPr>
      <w:r>
        <w:rPr>
          <w:szCs w:val="24"/>
          <w:lang w:eastAsia="en-GB"/>
        </w:rPr>
        <w:t xml:space="preserve">You can click on the links above to download each document or visit the </w:t>
      </w:r>
      <w:hyperlink r:id="rId48" w:history="1">
        <w:r w:rsidRPr="00EF01E0">
          <w:rPr>
            <w:rStyle w:val="Hyperlink"/>
            <w:b/>
            <w:szCs w:val="24"/>
            <w:lang w:eastAsia="en-GB"/>
          </w:rPr>
          <w:t>PHE East of England Group</w:t>
        </w:r>
      </w:hyperlink>
      <w:r>
        <w:rPr>
          <w:szCs w:val="24"/>
          <w:lang w:eastAsia="en-GB"/>
        </w:rPr>
        <w:t xml:space="preserve"> on the KHub to view all the documents in the series and other useful resources. </w:t>
      </w:r>
    </w:p>
    <w:p w:rsidR="00EF01E0" w:rsidRDefault="00EF01E0" w:rsidP="00EF01E0">
      <w:pPr>
        <w:shd w:val="clear" w:color="auto" w:fill="FFFFFF"/>
        <w:rPr>
          <w:szCs w:val="24"/>
          <w:lang w:eastAsia="en-GB"/>
        </w:rPr>
      </w:pPr>
    </w:p>
    <w:p w:rsidR="006E345A" w:rsidRPr="00A816D6" w:rsidRDefault="00EF01E0" w:rsidP="00A816D6">
      <w:pPr>
        <w:shd w:val="clear" w:color="auto" w:fill="FFFFFF"/>
        <w:rPr>
          <w:szCs w:val="24"/>
          <w:lang w:eastAsia="en-GB"/>
        </w:rPr>
      </w:pPr>
      <w:r>
        <w:rPr>
          <w:szCs w:val="24"/>
          <w:lang w:eastAsia="en-GB"/>
        </w:rPr>
        <w:t xml:space="preserve">For any further questions, please contact Fennie Gibbs, Health and Wellbeing Support Officer, PHE East of England on </w:t>
      </w:r>
      <w:hyperlink r:id="rId49" w:history="1">
        <w:r w:rsidRPr="009444BF">
          <w:rPr>
            <w:rStyle w:val="Hyperlink"/>
            <w:szCs w:val="24"/>
            <w:lang w:eastAsia="en-GB"/>
          </w:rPr>
          <w:t>fennie.gibbs@phe.gov.uk</w:t>
        </w:r>
      </w:hyperlink>
      <w:r>
        <w:rPr>
          <w:szCs w:val="24"/>
          <w:lang w:eastAsia="en-GB"/>
        </w:rPr>
        <w:t xml:space="preserve">. </w:t>
      </w:r>
    </w:p>
    <w:p w:rsidR="006E345A" w:rsidRDefault="006E345A" w:rsidP="00EF01E0"/>
    <w:sectPr w:rsidR="006E345A" w:rsidSect="00A816D6">
      <w:footerReference w:type="default" r:id="rId50"/>
      <w:pgSz w:w="11906" w:h="16838"/>
      <w:pgMar w:top="1418" w:right="849" w:bottom="568"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DF2" w:rsidRDefault="00D24DF2" w:rsidP="009E09E2">
      <w:r>
        <w:separator/>
      </w:r>
    </w:p>
  </w:endnote>
  <w:endnote w:type="continuationSeparator" w:id="0">
    <w:p w:rsidR="00D24DF2" w:rsidRDefault="00D24DF2" w:rsidP="009E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949661"/>
      <w:docPartObj>
        <w:docPartGallery w:val="Page Numbers (Bottom of Page)"/>
        <w:docPartUnique/>
      </w:docPartObj>
    </w:sdtPr>
    <w:sdtEndPr/>
    <w:sdtContent>
      <w:sdt>
        <w:sdtPr>
          <w:id w:val="-2115278410"/>
          <w:docPartObj>
            <w:docPartGallery w:val="Page Numbers (Top of Page)"/>
            <w:docPartUnique/>
          </w:docPartObj>
        </w:sdtPr>
        <w:sdtEndPr/>
        <w:sdtContent>
          <w:p w:rsidR="00FF2B9B" w:rsidRPr="00FF2B9B" w:rsidRDefault="00FF2B9B" w:rsidP="00FF2B9B">
            <w:pPr>
              <w:pStyle w:val="Footer"/>
              <w:jc w:val="right"/>
              <w:rPr>
                <w:sz w:val="20"/>
              </w:rPr>
            </w:pPr>
            <w:r w:rsidRPr="00FF2B9B">
              <w:rPr>
                <w:sz w:val="20"/>
              </w:rPr>
              <w:t>Fennie Gibbs – H&amp;WB Public Health Support Officer - PHE East of England</w:t>
            </w:r>
          </w:p>
          <w:p w:rsidR="00FF2B9B" w:rsidRPr="00FF2B9B" w:rsidRDefault="00D24DF2" w:rsidP="00FF2B9B">
            <w:pPr>
              <w:pStyle w:val="Footer"/>
              <w:jc w:val="right"/>
              <w:rPr>
                <w:sz w:val="20"/>
              </w:rPr>
            </w:pPr>
            <w:sdt>
              <w:sdtPr>
                <w:rPr>
                  <w:sz w:val="20"/>
                </w:rPr>
                <w:id w:val="-1037813248"/>
                <w:docPartObj>
                  <w:docPartGallery w:val="Page Numbers (Bottom of Page)"/>
                  <w:docPartUnique/>
                </w:docPartObj>
              </w:sdtPr>
              <w:sdtEndPr/>
              <w:sdtContent>
                <w:sdt>
                  <w:sdtPr>
                    <w:rPr>
                      <w:sz w:val="20"/>
                    </w:rPr>
                    <w:id w:val="1937247619"/>
                    <w:docPartObj>
                      <w:docPartGallery w:val="Page Numbers (Top of Page)"/>
                      <w:docPartUnique/>
                    </w:docPartObj>
                  </w:sdtPr>
                  <w:sdtEndPr/>
                  <w:sdtContent>
                    <w:r w:rsidR="00FF2B9B" w:rsidRPr="00FF2B9B">
                      <w:rPr>
                        <w:sz w:val="20"/>
                      </w:rPr>
                      <w:t xml:space="preserve">Page </w:t>
                    </w:r>
                    <w:r w:rsidR="00FF2B9B" w:rsidRPr="00FF2B9B">
                      <w:rPr>
                        <w:b/>
                        <w:bCs/>
                        <w:sz w:val="20"/>
                      </w:rPr>
                      <w:fldChar w:fldCharType="begin"/>
                    </w:r>
                    <w:r w:rsidR="00FF2B9B" w:rsidRPr="00FF2B9B">
                      <w:rPr>
                        <w:b/>
                        <w:bCs/>
                        <w:sz w:val="20"/>
                      </w:rPr>
                      <w:instrText xml:space="preserve"> PAGE </w:instrText>
                    </w:r>
                    <w:r w:rsidR="00FF2B9B" w:rsidRPr="00FF2B9B">
                      <w:rPr>
                        <w:b/>
                        <w:bCs/>
                        <w:sz w:val="20"/>
                      </w:rPr>
                      <w:fldChar w:fldCharType="separate"/>
                    </w:r>
                    <w:r w:rsidR="005B0778">
                      <w:rPr>
                        <w:b/>
                        <w:bCs/>
                        <w:noProof/>
                        <w:sz w:val="20"/>
                      </w:rPr>
                      <w:t>1</w:t>
                    </w:r>
                    <w:r w:rsidR="00FF2B9B" w:rsidRPr="00FF2B9B">
                      <w:rPr>
                        <w:b/>
                        <w:bCs/>
                        <w:sz w:val="20"/>
                      </w:rPr>
                      <w:fldChar w:fldCharType="end"/>
                    </w:r>
                    <w:r w:rsidR="00FF2B9B" w:rsidRPr="00FF2B9B">
                      <w:rPr>
                        <w:sz w:val="20"/>
                      </w:rPr>
                      <w:t xml:space="preserve"> of </w:t>
                    </w:r>
                    <w:r w:rsidR="00FF2B9B" w:rsidRPr="00FF2B9B">
                      <w:rPr>
                        <w:b/>
                        <w:bCs/>
                        <w:sz w:val="20"/>
                      </w:rPr>
                      <w:fldChar w:fldCharType="begin"/>
                    </w:r>
                    <w:r w:rsidR="00FF2B9B" w:rsidRPr="00FF2B9B">
                      <w:rPr>
                        <w:b/>
                        <w:bCs/>
                        <w:sz w:val="20"/>
                      </w:rPr>
                      <w:instrText xml:space="preserve"> NUMPAGES  </w:instrText>
                    </w:r>
                    <w:r w:rsidR="00FF2B9B" w:rsidRPr="00FF2B9B">
                      <w:rPr>
                        <w:b/>
                        <w:bCs/>
                        <w:sz w:val="20"/>
                      </w:rPr>
                      <w:fldChar w:fldCharType="separate"/>
                    </w:r>
                    <w:r w:rsidR="005B0778">
                      <w:rPr>
                        <w:b/>
                        <w:bCs/>
                        <w:noProof/>
                        <w:sz w:val="20"/>
                      </w:rPr>
                      <w:t>2</w:t>
                    </w:r>
                    <w:r w:rsidR="00FF2B9B" w:rsidRPr="00FF2B9B">
                      <w:rPr>
                        <w:b/>
                        <w:bCs/>
                        <w:sz w:val="20"/>
                      </w:rPr>
                      <w:fldChar w:fldCharType="end"/>
                    </w:r>
                  </w:sdtContent>
                </w:sdt>
              </w:sdtContent>
            </w:sdt>
          </w:p>
          <w:p w:rsidR="009E09E2" w:rsidRDefault="00D24DF2">
            <w:pPr>
              <w:pStyle w:val="Footer"/>
              <w:jc w:val="right"/>
            </w:pPr>
          </w:p>
        </w:sdtContent>
      </w:sdt>
    </w:sdtContent>
  </w:sdt>
  <w:p w:rsidR="009E09E2" w:rsidRDefault="009E0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DF2" w:rsidRDefault="00D24DF2" w:rsidP="009E09E2">
      <w:r>
        <w:separator/>
      </w:r>
    </w:p>
  </w:footnote>
  <w:footnote w:type="continuationSeparator" w:id="0">
    <w:p w:rsidR="00D24DF2" w:rsidRDefault="00D24DF2" w:rsidP="009E0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F2F2E"/>
    <w:multiLevelType w:val="hybridMultilevel"/>
    <w:tmpl w:val="6208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9E2"/>
    <w:rsid w:val="00010092"/>
    <w:rsid w:val="00016EF2"/>
    <w:rsid w:val="00064834"/>
    <w:rsid w:val="00163838"/>
    <w:rsid w:val="001F408C"/>
    <w:rsid w:val="003972BF"/>
    <w:rsid w:val="00497955"/>
    <w:rsid w:val="005A508C"/>
    <w:rsid w:val="005B0778"/>
    <w:rsid w:val="006214CD"/>
    <w:rsid w:val="006E345A"/>
    <w:rsid w:val="007450C4"/>
    <w:rsid w:val="007542DD"/>
    <w:rsid w:val="00811E73"/>
    <w:rsid w:val="008E484F"/>
    <w:rsid w:val="00973607"/>
    <w:rsid w:val="00986155"/>
    <w:rsid w:val="009E09E2"/>
    <w:rsid w:val="00A816D6"/>
    <w:rsid w:val="00A870C1"/>
    <w:rsid w:val="00B93736"/>
    <w:rsid w:val="00C32387"/>
    <w:rsid w:val="00CE2C07"/>
    <w:rsid w:val="00D24DF2"/>
    <w:rsid w:val="00E756F4"/>
    <w:rsid w:val="00E95578"/>
    <w:rsid w:val="00EF01E0"/>
    <w:rsid w:val="00F76C3D"/>
    <w:rsid w:val="00F87916"/>
    <w:rsid w:val="00FF2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357A7C-90CA-4773-A8C9-FBEFB19A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9E2"/>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PHE Table1"/>
    <w:basedOn w:val="TableNormal"/>
    <w:uiPriority w:val="59"/>
    <w:rsid w:val="009E09E2"/>
    <w:pPr>
      <w:spacing w:after="0" w:line="240" w:lineRule="auto"/>
    </w:pPr>
    <w:rPr>
      <w:rFonts w:ascii="Arial" w:eastAsia="Times New Roman"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800000"/>
      </w:tcPr>
    </w:tblStylePr>
  </w:style>
  <w:style w:type="paragraph" w:styleId="Title">
    <w:name w:val="Title"/>
    <w:basedOn w:val="Normal"/>
    <w:next w:val="Normal"/>
    <w:link w:val="TitleChar"/>
    <w:uiPriority w:val="10"/>
    <w:qFormat/>
    <w:rsid w:val="009E09E2"/>
    <w:pPr>
      <w:tabs>
        <w:tab w:val="left" w:pos="1920"/>
      </w:tabs>
      <w:spacing w:before="240" w:after="240" w:line="400" w:lineRule="exact"/>
      <w:ind w:left="1310"/>
      <w:outlineLvl w:val="0"/>
    </w:pPr>
    <w:rPr>
      <w:rFonts w:eastAsia="MS Gothic" w:cs="Times New Roman"/>
      <w:b/>
      <w:bCs/>
      <w:color w:val="FFFFFF"/>
      <w:spacing w:val="10"/>
      <w:kern w:val="28"/>
      <w:sz w:val="32"/>
      <w:szCs w:val="32"/>
    </w:rPr>
  </w:style>
  <w:style w:type="character" w:customStyle="1" w:styleId="TitleChar">
    <w:name w:val="Title Char"/>
    <w:basedOn w:val="DefaultParagraphFont"/>
    <w:link w:val="Title"/>
    <w:uiPriority w:val="10"/>
    <w:rsid w:val="009E09E2"/>
    <w:rPr>
      <w:rFonts w:ascii="Arial" w:eastAsia="MS Gothic" w:hAnsi="Arial" w:cs="Times New Roman"/>
      <w:b/>
      <w:bCs/>
      <w:color w:val="FFFFFF"/>
      <w:spacing w:val="10"/>
      <w:kern w:val="28"/>
      <w:sz w:val="32"/>
      <w:szCs w:val="32"/>
    </w:rPr>
  </w:style>
  <w:style w:type="paragraph" w:customStyle="1" w:styleId="PHEBodycopy">
    <w:name w:val="PHE Body copy"/>
    <w:basedOn w:val="Normal"/>
    <w:qFormat/>
    <w:rsid w:val="009E09E2"/>
    <w:pPr>
      <w:spacing w:line="320" w:lineRule="exact"/>
    </w:pPr>
    <w:rPr>
      <w:rFonts w:eastAsia="Calibri"/>
      <w:lang w:eastAsia="en-GB"/>
    </w:rPr>
  </w:style>
  <w:style w:type="paragraph" w:styleId="NormalWeb">
    <w:name w:val="Normal (Web)"/>
    <w:basedOn w:val="Normal"/>
    <w:uiPriority w:val="99"/>
    <w:unhideWhenUsed/>
    <w:rsid w:val="009E09E2"/>
    <w:pPr>
      <w:spacing w:before="100" w:beforeAutospacing="1" w:after="100" w:afterAutospacing="1"/>
    </w:pPr>
    <w:rPr>
      <w:rFonts w:ascii="Times New Roman" w:hAnsi="Times New Roman" w:cs="Times New Roman"/>
      <w:szCs w:val="24"/>
      <w:lang w:eastAsia="en-GB"/>
    </w:rPr>
  </w:style>
  <w:style w:type="paragraph" w:styleId="Header">
    <w:name w:val="header"/>
    <w:basedOn w:val="Normal"/>
    <w:link w:val="HeaderChar"/>
    <w:uiPriority w:val="99"/>
    <w:unhideWhenUsed/>
    <w:rsid w:val="009E09E2"/>
    <w:pPr>
      <w:tabs>
        <w:tab w:val="center" w:pos="4513"/>
        <w:tab w:val="right" w:pos="9026"/>
      </w:tabs>
    </w:pPr>
  </w:style>
  <w:style w:type="character" w:customStyle="1" w:styleId="HeaderChar">
    <w:name w:val="Header Char"/>
    <w:basedOn w:val="DefaultParagraphFont"/>
    <w:link w:val="Header"/>
    <w:uiPriority w:val="99"/>
    <w:rsid w:val="009E09E2"/>
    <w:rPr>
      <w:rFonts w:ascii="Arial" w:eastAsia="Times New Roman" w:hAnsi="Arial" w:cs="Arial"/>
      <w:sz w:val="24"/>
      <w:szCs w:val="20"/>
    </w:rPr>
  </w:style>
  <w:style w:type="paragraph" w:styleId="Footer">
    <w:name w:val="footer"/>
    <w:basedOn w:val="Normal"/>
    <w:link w:val="FooterChar"/>
    <w:uiPriority w:val="99"/>
    <w:unhideWhenUsed/>
    <w:rsid w:val="009E09E2"/>
    <w:pPr>
      <w:tabs>
        <w:tab w:val="center" w:pos="4513"/>
        <w:tab w:val="right" w:pos="9026"/>
      </w:tabs>
    </w:pPr>
  </w:style>
  <w:style w:type="character" w:customStyle="1" w:styleId="FooterChar">
    <w:name w:val="Footer Char"/>
    <w:basedOn w:val="DefaultParagraphFont"/>
    <w:link w:val="Footer"/>
    <w:uiPriority w:val="99"/>
    <w:rsid w:val="009E09E2"/>
    <w:rPr>
      <w:rFonts w:ascii="Arial" w:eastAsia="Times New Roman" w:hAnsi="Arial" w:cs="Arial"/>
      <w:sz w:val="24"/>
      <w:szCs w:val="20"/>
    </w:rPr>
  </w:style>
  <w:style w:type="character" w:styleId="Hyperlink">
    <w:name w:val="Hyperlink"/>
    <w:basedOn w:val="DefaultParagraphFont"/>
    <w:uiPriority w:val="99"/>
    <w:unhideWhenUsed/>
    <w:rsid w:val="00497955"/>
    <w:rPr>
      <w:color w:val="98002E" w:themeColor="hyperlink"/>
      <w:u w:val="single"/>
    </w:rPr>
  </w:style>
  <w:style w:type="character" w:styleId="UnresolvedMention">
    <w:name w:val="Unresolved Mention"/>
    <w:basedOn w:val="DefaultParagraphFont"/>
    <w:uiPriority w:val="99"/>
    <w:semiHidden/>
    <w:unhideWhenUsed/>
    <w:rsid w:val="003972BF"/>
    <w:rPr>
      <w:color w:val="808080"/>
      <w:shd w:val="clear" w:color="auto" w:fill="E6E6E6"/>
    </w:rPr>
  </w:style>
  <w:style w:type="character" w:styleId="FollowedHyperlink">
    <w:name w:val="FollowedHyperlink"/>
    <w:basedOn w:val="DefaultParagraphFont"/>
    <w:uiPriority w:val="99"/>
    <w:semiHidden/>
    <w:unhideWhenUsed/>
    <w:rsid w:val="00986155"/>
    <w:rPr>
      <w:color w:val="98002E" w:themeColor="followed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A870C1"/>
    <w:pPr>
      <w:spacing w:after="200" w:line="276" w:lineRule="auto"/>
      <w:ind w:left="720"/>
      <w:contextualSpacing/>
    </w:pPr>
    <w:rPr>
      <w:rFonts w:ascii="Calibri" w:eastAsia="Calibri" w:hAnsi="Calibri" w:cs="Times New Roman"/>
      <w:sz w:val="22"/>
      <w:szCs w:val="22"/>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A870C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6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rsusarthritis.org/policy/resources-for-policy-makers/musculoskeletal-calculator/" TargetMode="External"/><Relationship Id="rId18" Type="http://schemas.openxmlformats.org/officeDocument/2006/relationships/hyperlink" Target="https://www.gov.uk/government/publications/musculoskeletal-health-applying-all-our-health/musculoskeletal-health-applying-all-our-health" TargetMode="External"/><Relationship Id="rId26" Type="http://schemas.openxmlformats.org/officeDocument/2006/relationships/hyperlink" Target="https://pathways.nice.org.uk/pathways/musculoskeletal-conditions" TargetMode="External"/><Relationship Id="rId39" Type="http://schemas.openxmlformats.org/officeDocument/2006/relationships/hyperlink" Target="https://www.nhs.uk/oneyou/be-healthier/check-your-health/heart-age-test/" TargetMode="External"/><Relationship Id="rId3" Type="http://schemas.openxmlformats.org/officeDocument/2006/relationships/styles" Target="styles.xml"/><Relationship Id="rId21" Type="http://schemas.openxmlformats.org/officeDocument/2006/relationships/hyperlink" Target="https://www.gov.uk/government/publications/musculoskeletal-conditions-return-on-investment-tool" TargetMode="External"/><Relationship Id="rId34" Type="http://schemas.openxmlformats.org/officeDocument/2006/relationships/image" Target="media/image4.png"/><Relationship Id="rId42" Type="http://schemas.openxmlformats.org/officeDocument/2006/relationships/hyperlink" Target="https://www.e-lfh.org.uk/programmes/musculoskeletal-primary-care/" TargetMode="External"/><Relationship Id="rId47" Type="http://schemas.openxmlformats.org/officeDocument/2006/relationships/hyperlink" Target="https://khub.net/documents/28020229/29427771/181023PhysicalActivityBriefing.docx/1035815f-70a7-3559-2a62-bae20dbbd8f8"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versusarthritis.org/policy/policy-reports/providing-physical-activity" TargetMode="External"/><Relationship Id="rId17" Type="http://schemas.openxmlformats.org/officeDocument/2006/relationships/hyperlink" Target="https://www.gov.uk/government/publications/all-our-health-about-the-framework/all-our-health-about-the-framework" TargetMode="External"/><Relationship Id="rId25" Type="http://schemas.openxmlformats.org/officeDocument/2006/relationships/hyperlink" Target="https://www.england.nhs.uk/rightcare/products/ccg-data-packs/focus-packs/focus-packs-for-cancer-mental-health-and-dementia-msk-and-trauma-may-2016/" TargetMode="External"/><Relationship Id="rId33" Type="http://schemas.openxmlformats.org/officeDocument/2006/relationships/hyperlink" Target="https://www.nhs.uk/oneyou/for-your-body/move-more/" TargetMode="External"/><Relationship Id="rId38" Type="http://schemas.openxmlformats.org/officeDocument/2006/relationships/image" Target="media/image6.png"/><Relationship Id="rId46" Type="http://schemas.openxmlformats.org/officeDocument/2006/relationships/hyperlink" Target="https://khub.net/documents/28020229/29427771/181023ObesityBriefing.docx/0519da08-4dd1-6327-a352-dfb31ebba7de" TargetMode="External"/><Relationship Id="rId2" Type="http://schemas.openxmlformats.org/officeDocument/2006/relationships/numbering" Target="numbering.xml"/><Relationship Id="rId16" Type="http://schemas.openxmlformats.org/officeDocument/2006/relationships/hyperlink" Target="https://www.gov.uk/government/collections/all-our-health-personalised-care-and-population-health" TargetMode="External"/><Relationship Id="rId20" Type="http://schemas.openxmlformats.org/officeDocument/2006/relationships/hyperlink" Target="https://www.gov.uk/government/publications/productive-healthy-ageing-and-musculoskeletal-health" TargetMode="External"/><Relationship Id="rId29" Type="http://schemas.openxmlformats.org/officeDocument/2006/relationships/hyperlink" Target="https://campaignresources.phe.gov.uk/resources/campaigns" TargetMode="External"/><Relationship Id="rId41" Type="http://schemas.openxmlformats.org/officeDocument/2006/relationships/hyperlink" Target="https://www.weareundefeatabl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rsusarthritis.org/policy/policy-reports/musculoskeletal-conditions-and-multimorbidities-report" TargetMode="External"/><Relationship Id="rId24" Type="http://schemas.openxmlformats.org/officeDocument/2006/relationships/hyperlink" Target="https://www.england.nhs.uk/rightcare/products/ccg-data-packs/focus-packs/" TargetMode="External"/><Relationship Id="rId32" Type="http://schemas.openxmlformats.org/officeDocument/2006/relationships/image" Target="media/image3.png"/><Relationship Id="rId37" Type="http://schemas.openxmlformats.org/officeDocument/2006/relationships/hyperlink" Target="https://www.nhs.uk/oneyou/for-your-body/quit-smoking/" TargetMode="External"/><Relationship Id="rId40" Type="http://schemas.openxmlformats.org/officeDocument/2006/relationships/hyperlink" Target="https://www.weareundefeatable.co.uk/" TargetMode="External"/><Relationship Id="rId45" Type="http://schemas.openxmlformats.org/officeDocument/2006/relationships/hyperlink" Target="https://www.khub.net/documents/28020229/29427771/Making+Every+Contact+Count+%28MECC%29+briefing.docx/9cacdd13-f4a7-43ea-3fc7-386ea37d362f?t=1560160259430" TargetMode="External"/><Relationship Id="rId5" Type="http://schemas.openxmlformats.org/officeDocument/2006/relationships/webSettings" Target="webSettings.xml"/><Relationship Id="rId15" Type="http://schemas.openxmlformats.org/officeDocument/2006/relationships/hyperlink" Target="https://www.gov.uk/government/publications/musculoskeletal-health-5-year-prevention-strategic-framework" TargetMode="External"/><Relationship Id="rId23" Type="http://schemas.openxmlformats.org/officeDocument/2006/relationships/hyperlink" Target="https://wellbeing.bitc.org.uk/all-resources/toolkits/musculoskeletal-health-toolkit-employers" TargetMode="External"/><Relationship Id="rId28" Type="http://schemas.openxmlformats.org/officeDocument/2006/relationships/hyperlink" Target="https://www.nhs.uk/oneyou/apps/" TargetMode="External"/><Relationship Id="rId36" Type="http://schemas.openxmlformats.org/officeDocument/2006/relationships/image" Target="media/image5.png"/><Relationship Id="rId49" Type="http://schemas.openxmlformats.org/officeDocument/2006/relationships/hyperlink" Target="mailto:fennie.gibbs@phe.gov.uk" TargetMode="External"/><Relationship Id="rId10" Type="http://schemas.openxmlformats.org/officeDocument/2006/relationships/hyperlink" Target="https://apps.who.int/iris/handle/10665/324935" TargetMode="External"/><Relationship Id="rId19" Type="http://schemas.openxmlformats.org/officeDocument/2006/relationships/hyperlink" Target="http://www.skillsforhealth.org.uk/news/latest-news/item/689-new-musculoskeletal-core-capabilities-framework" TargetMode="External"/><Relationship Id="rId31" Type="http://schemas.openxmlformats.org/officeDocument/2006/relationships/hyperlink" Target="https://www.nhs.uk/oneyou/for-your-body/drink-less/" TargetMode="External"/><Relationship Id="rId44" Type="http://schemas.openxmlformats.org/officeDocument/2006/relationships/hyperlink" Target="https://khub.net/documents/28020229/29427771/20181206DementiaAgeingWell.docx/a2ca3004-e47d-888c-a3f4-77c8009ca0b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ersusarthritis.org/about-arthritis/data-and-statistics/state-of-musculoskeletal-health-2019/" TargetMode="External"/><Relationship Id="rId14" Type="http://schemas.openxmlformats.org/officeDocument/2006/relationships/hyperlink" Target="https://fingertips.phe.org.uk/profile/msk" TargetMode="External"/><Relationship Id="rId22" Type="http://schemas.openxmlformats.org/officeDocument/2006/relationships/hyperlink" Target="https://www.england.nhs.uk/publication/transforming-musculoskeletal-and-orthopaedic-elective-care-services/" TargetMode="External"/><Relationship Id="rId27" Type="http://schemas.openxmlformats.org/officeDocument/2006/relationships/hyperlink" Target="https://www.nhs.uk/oneyou" TargetMode="External"/><Relationship Id="rId30" Type="http://schemas.openxmlformats.org/officeDocument/2006/relationships/image" Target="media/image2.png"/><Relationship Id="rId35" Type="http://schemas.openxmlformats.org/officeDocument/2006/relationships/hyperlink" Target="https://www.nhs.uk/oneyou/for-your-body/eat-better/" TargetMode="External"/><Relationship Id="rId43" Type="http://schemas.openxmlformats.org/officeDocument/2006/relationships/hyperlink" Target="https://khub.net/group/musculoskeletal-health" TargetMode="External"/><Relationship Id="rId48" Type="http://schemas.openxmlformats.org/officeDocument/2006/relationships/hyperlink" Target="https://khub.net/group/pheeastofengland"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98002E"/>
      </a:hlink>
      <a:folHlink>
        <a:srgbClr val="98002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B1A3C-58E6-4274-BDAF-D4596D9B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Fennie Gibbs</dc:creator>
  <cp:keywords/>
  <dc:description/>
  <cp:lastModifiedBy>Samir Qadery</cp:lastModifiedBy>
  <cp:revision>2</cp:revision>
  <dcterms:created xsi:type="dcterms:W3CDTF">2019-09-23T12:14:00Z</dcterms:created>
  <dcterms:modified xsi:type="dcterms:W3CDTF">2019-09-23T12:14:00Z</dcterms:modified>
</cp:coreProperties>
</file>