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12AD3" w14:textId="77777777" w:rsidR="009E09E2" w:rsidRDefault="009E09E2" w:rsidP="009E09E2">
      <w:r>
        <w:rPr>
          <w:noProof/>
          <w:sz w:val="20"/>
          <w:lang w:val="en-US"/>
        </w:rPr>
        <w:drawing>
          <wp:anchor distT="0" distB="0" distL="114300" distR="114300" simplePos="0" relativeHeight="251659264" behindDoc="0" locked="0" layoutInCell="1" allowOverlap="1" wp14:anchorId="7ED81B3E" wp14:editId="439A1741">
            <wp:simplePos x="0" y="0"/>
            <wp:positionH relativeFrom="page">
              <wp:posOffset>-180487</wp:posOffset>
            </wp:positionH>
            <wp:positionV relativeFrom="paragraph">
              <wp:posOffset>-899559</wp:posOffset>
            </wp:positionV>
            <wp:extent cx="4062730" cy="2011680"/>
            <wp:effectExtent l="0" t="0" r="0" b="7620"/>
            <wp:wrapNone/>
            <wp:docPr id="8" name="Picture 8" descr="PHE small logo for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E small logo for A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62730" cy="2011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84AE5A" w14:textId="77777777" w:rsidR="009E09E2" w:rsidRDefault="009E09E2" w:rsidP="009E09E2"/>
    <w:p w14:paraId="45219A65" w14:textId="77777777" w:rsidR="009E09E2" w:rsidRDefault="009E09E2" w:rsidP="009E09E2"/>
    <w:p w14:paraId="352CFD84" w14:textId="77777777" w:rsidR="009E09E2" w:rsidRDefault="009E09E2" w:rsidP="009E09E2"/>
    <w:p w14:paraId="1A068F37" w14:textId="77777777" w:rsidR="009E09E2" w:rsidRDefault="009E09E2" w:rsidP="009E09E2"/>
    <w:p w14:paraId="08B0F7CB" w14:textId="77777777" w:rsidR="009E09E2" w:rsidRDefault="009E09E2" w:rsidP="009E09E2"/>
    <w:tbl>
      <w:tblPr>
        <w:tblStyle w:val="TableGrid"/>
        <w:tblpPr w:leftFromText="180" w:rightFromText="180" w:vertAnchor="text" w:horzAnchor="margin" w:tblpXSpec="center" w:tblpY="176"/>
        <w:tblW w:w="12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49"/>
      </w:tblGrid>
      <w:tr w:rsidR="009E09E2" w14:paraId="20A40588" w14:textId="77777777" w:rsidTr="006E6AE3">
        <w:trPr>
          <w:cnfStyle w:val="100000000000" w:firstRow="1" w:lastRow="0" w:firstColumn="0" w:lastColumn="0" w:oddVBand="0" w:evenVBand="0" w:oddHBand="0" w:evenHBand="0" w:firstRowFirstColumn="0" w:firstRowLastColumn="0" w:lastRowFirstColumn="0" w:lastRowLastColumn="0"/>
          <w:trHeight w:val="159"/>
        </w:trPr>
        <w:tc>
          <w:tcPr>
            <w:tcW w:w="12049" w:type="dxa"/>
            <w:shd w:val="clear" w:color="auto" w:fill="01D1AE"/>
          </w:tcPr>
          <w:p w14:paraId="081ECCD0" w14:textId="77777777" w:rsidR="009E09E2" w:rsidRPr="00D67F56" w:rsidRDefault="009E09E2" w:rsidP="006E6AE3">
            <w:pPr>
              <w:rPr>
                <w:sz w:val="16"/>
                <w:szCs w:val="16"/>
              </w:rPr>
            </w:pPr>
          </w:p>
        </w:tc>
      </w:tr>
      <w:tr w:rsidR="009E09E2" w:rsidRPr="004439C5" w14:paraId="53E2F26B" w14:textId="77777777" w:rsidTr="006E6AE3">
        <w:trPr>
          <w:trHeight w:val="1566"/>
        </w:trPr>
        <w:tc>
          <w:tcPr>
            <w:tcW w:w="12049" w:type="dxa"/>
            <w:shd w:val="clear" w:color="auto" w:fill="98002E"/>
          </w:tcPr>
          <w:p w14:paraId="4F74EE33" w14:textId="77777777" w:rsidR="009E09E2" w:rsidRPr="0008434F" w:rsidRDefault="009E09E2" w:rsidP="006E6AE3">
            <w:pPr>
              <w:pStyle w:val="Title"/>
              <w:spacing w:line="240" w:lineRule="auto"/>
              <w:ind w:left="1026"/>
              <w:rPr>
                <w:rFonts w:cs="Arial"/>
              </w:rPr>
            </w:pPr>
            <w:r w:rsidRPr="00FF2672">
              <w:rPr>
                <w:rFonts w:cs="Arial"/>
                <w:noProof/>
                <w:lang w:val="en-US"/>
              </w:rPr>
              <mc:AlternateContent>
                <mc:Choice Requires="wps">
                  <w:drawing>
                    <wp:anchor distT="0" distB="0" distL="114300" distR="114300" simplePos="0" relativeHeight="251661312" behindDoc="0" locked="0" layoutInCell="1" allowOverlap="1" wp14:anchorId="097AEAAA" wp14:editId="4B892B43">
                      <wp:simplePos x="0" y="0"/>
                      <wp:positionH relativeFrom="column">
                        <wp:posOffset>509270</wp:posOffset>
                      </wp:positionH>
                      <wp:positionV relativeFrom="paragraph">
                        <wp:posOffset>22225</wp:posOffset>
                      </wp:positionV>
                      <wp:extent cx="6753225" cy="9810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981075"/>
                              </a:xfrm>
                              <a:prstGeom prst="rect">
                                <a:avLst/>
                              </a:prstGeom>
                              <a:noFill/>
                              <a:ln w="9525">
                                <a:noFill/>
                                <a:miter lim="800000"/>
                                <a:headEnd/>
                                <a:tailEnd/>
                              </a:ln>
                            </wps:spPr>
                            <wps:txbx>
                              <w:txbxContent>
                                <w:p w14:paraId="794BA649" w14:textId="77777777" w:rsidR="009E09E2" w:rsidRPr="001104A8" w:rsidRDefault="00D30ACD" w:rsidP="009E09E2">
                                  <w:pPr>
                                    <w:rPr>
                                      <w:b/>
                                      <w:color w:val="FFFFFF" w:themeColor="background1"/>
                                      <w:sz w:val="66"/>
                                      <w:szCs w:val="66"/>
                                    </w:rPr>
                                  </w:pPr>
                                  <w:r>
                                    <w:rPr>
                                      <w:b/>
                                      <w:color w:val="FFFFFF" w:themeColor="background1"/>
                                      <w:sz w:val="66"/>
                                      <w:szCs w:val="66"/>
                                    </w:rPr>
                                    <w:t>Antimicrobial Resistance</w:t>
                                  </w:r>
                                </w:p>
                                <w:p w14:paraId="66372625" w14:textId="77777777" w:rsidR="009E09E2" w:rsidRPr="000D1BDA" w:rsidRDefault="009E09E2" w:rsidP="009E09E2">
                                  <w:pPr>
                                    <w:rPr>
                                      <w:b/>
                                      <w:color w:val="FFFFFF" w:themeColor="background1"/>
                                      <w:sz w:val="10"/>
                                      <w:szCs w:val="8"/>
                                    </w:rPr>
                                  </w:pPr>
                                </w:p>
                                <w:p w14:paraId="6CBF3B5F" w14:textId="0EF239C8" w:rsidR="009E09E2" w:rsidRPr="007B1022" w:rsidRDefault="009E09E2" w:rsidP="009E09E2">
                                  <w:pPr>
                                    <w:rPr>
                                      <w:b/>
                                      <w:color w:val="FFFFFF" w:themeColor="background1"/>
                                      <w:sz w:val="20"/>
                                    </w:rPr>
                                  </w:pPr>
                                  <w:r>
                                    <w:rPr>
                                      <w:b/>
                                      <w:color w:val="FFFFFF" w:themeColor="background1"/>
                                      <w:sz w:val="20"/>
                                    </w:rPr>
                                    <w:t>Briefing</w:t>
                                  </w:r>
                                  <w:r w:rsidRPr="007B1022">
                                    <w:rPr>
                                      <w:b/>
                                      <w:color w:val="FFFFFF" w:themeColor="background1"/>
                                      <w:sz w:val="20"/>
                                    </w:rPr>
                                    <w:t xml:space="preserve"> produced by Public Health England</w:t>
                                  </w:r>
                                  <w:r>
                                    <w:rPr>
                                      <w:b/>
                                      <w:color w:val="FFFFFF" w:themeColor="background1"/>
                                      <w:sz w:val="20"/>
                                    </w:rPr>
                                    <w:t>’s</w:t>
                                  </w:r>
                                  <w:r w:rsidRPr="007B1022">
                                    <w:rPr>
                                      <w:b/>
                                      <w:color w:val="FFFFFF" w:themeColor="background1"/>
                                      <w:sz w:val="20"/>
                                    </w:rPr>
                                    <w:t xml:space="preserve"> </w:t>
                                  </w:r>
                                  <w:r>
                                    <w:rPr>
                                      <w:b/>
                                      <w:color w:val="FFFFFF" w:themeColor="background1"/>
                                      <w:sz w:val="20"/>
                                    </w:rPr>
                                    <w:t xml:space="preserve">East of England </w:t>
                                  </w:r>
                                  <w:r w:rsidR="0032487D">
                                    <w:rPr>
                                      <w:b/>
                                      <w:color w:val="FFFFFF" w:themeColor="background1"/>
                                      <w:sz w:val="20"/>
                                    </w:rPr>
                                    <w:t xml:space="preserve">Healthcare Public Health Team </w:t>
                                  </w:r>
                                  <w:r w:rsidR="00D87ADF">
                                    <w:rPr>
                                      <w:b/>
                                      <w:color w:val="FFFFFF" w:themeColor="background1"/>
                                      <w:sz w:val="20"/>
                                    </w:rPr>
                                    <w:t xml:space="preserve">and </w:t>
                                  </w:r>
                                  <w:r w:rsidR="0032487D">
                                    <w:rPr>
                                      <w:b/>
                                      <w:color w:val="FFFFFF" w:themeColor="background1"/>
                                      <w:sz w:val="20"/>
                                    </w:rPr>
                                    <w:t xml:space="preserve">Health Protection Team </w:t>
                                  </w:r>
                                  <w:r w:rsidR="006B0B69">
                                    <w:rPr>
                                      <w:b/>
                                      <w:color w:val="FFFFFF" w:themeColor="background1"/>
                                      <w:sz w:val="20"/>
                                    </w:rPr>
                                    <w:t>– August 2019 (V1.00</w:t>
                                  </w:r>
                                  <w:r>
                                    <w:rPr>
                                      <w:b/>
                                      <w:color w:val="FFFFFF" w:themeColor="background1"/>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7AEAAA" id="_x0000_t202" coordsize="21600,21600" o:spt="202" path="m,l,21600r21600,l21600,xe">
                      <v:stroke joinstyle="miter"/>
                      <v:path gradientshapeok="t" o:connecttype="rect"/>
                    </v:shapetype>
                    <v:shape id="Text Box 2" o:spid="_x0000_s1026" type="#_x0000_t202" style="position:absolute;left:0;text-align:left;margin-left:40.1pt;margin-top:1.75pt;width:531.75pt;height:7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" filled="f" stroked="f">
                      <v:textbox>
                        <w:txbxContent>
                          <w:p w14:paraId="794BA649" w14:textId="77777777" w:rsidR="009E09E2" w:rsidRPr="001104A8" w:rsidRDefault="00D30ACD" w:rsidP="009E09E2">
                            <w:pPr>
                              <w:rPr>
                                <w:b/>
                                <w:color w:val="FFFFFF" w:themeColor="background1"/>
                                <w:sz w:val="66"/>
                                <w:szCs w:val="66"/>
                              </w:rPr>
                            </w:pPr>
                            <w:r>
                              <w:rPr>
                                <w:b/>
                                <w:color w:val="FFFFFF" w:themeColor="background1"/>
                                <w:sz w:val="66"/>
                                <w:szCs w:val="66"/>
                              </w:rPr>
                              <w:t>Antimicrobial Resistance</w:t>
                            </w:r>
                          </w:p>
                          <w:p w14:paraId="66372625" w14:textId="77777777" w:rsidR="009E09E2" w:rsidRPr="000D1BDA" w:rsidRDefault="009E09E2" w:rsidP="009E09E2">
                            <w:pPr>
                              <w:rPr>
                                <w:b/>
                                <w:color w:val="FFFFFF" w:themeColor="background1"/>
                                <w:sz w:val="10"/>
                                <w:szCs w:val="8"/>
                              </w:rPr>
                            </w:pPr>
                          </w:p>
                          <w:p w14:paraId="6CBF3B5F" w14:textId="0EF239C8" w:rsidR="009E09E2" w:rsidRPr="007B1022" w:rsidRDefault="009E09E2" w:rsidP="009E09E2">
                            <w:pPr>
                              <w:rPr>
                                <w:b/>
                                <w:color w:val="FFFFFF" w:themeColor="background1"/>
                                <w:sz w:val="20"/>
                              </w:rPr>
                            </w:pPr>
                            <w:r>
                              <w:rPr>
                                <w:b/>
                                <w:color w:val="FFFFFF" w:themeColor="background1"/>
                                <w:sz w:val="20"/>
                              </w:rPr>
                              <w:t>Briefing</w:t>
                            </w:r>
                            <w:r w:rsidRPr="007B1022">
                              <w:rPr>
                                <w:b/>
                                <w:color w:val="FFFFFF" w:themeColor="background1"/>
                                <w:sz w:val="20"/>
                              </w:rPr>
                              <w:t xml:space="preserve"> produced by Public Health England</w:t>
                            </w:r>
                            <w:r>
                              <w:rPr>
                                <w:b/>
                                <w:color w:val="FFFFFF" w:themeColor="background1"/>
                                <w:sz w:val="20"/>
                              </w:rPr>
                              <w:t>’s</w:t>
                            </w:r>
                            <w:r w:rsidRPr="007B1022">
                              <w:rPr>
                                <w:b/>
                                <w:color w:val="FFFFFF" w:themeColor="background1"/>
                                <w:sz w:val="20"/>
                              </w:rPr>
                              <w:t xml:space="preserve"> </w:t>
                            </w:r>
                            <w:r>
                              <w:rPr>
                                <w:b/>
                                <w:color w:val="FFFFFF" w:themeColor="background1"/>
                                <w:sz w:val="20"/>
                              </w:rPr>
                              <w:t xml:space="preserve">East of England </w:t>
                            </w:r>
                            <w:r w:rsidR="0032487D">
                              <w:rPr>
                                <w:b/>
                                <w:color w:val="FFFFFF" w:themeColor="background1"/>
                                <w:sz w:val="20"/>
                              </w:rPr>
                              <w:t xml:space="preserve">Healthcare Public Health Team </w:t>
                            </w:r>
                            <w:r w:rsidR="00D87ADF">
                              <w:rPr>
                                <w:b/>
                                <w:color w:val="FFFFFF" w:themeColor="background1"/>
                                <w:sz w:val="20"/>
                              </w:rPr>
                              <w:t xml:space="preserve">and </w:t>
                            </w:r>
                            <w:r w:rsidR="0032487D">
                              <w:rPr>
                                <w:b/>
                                <w:color w:val="FFFFFF" w:themeColor="background1"/>
                                <w:sz w:val="20"/>
                              </w:rPr>
                              <w:t xml:space="preserve">Health Protection Team </w:t>
                            </w:r>
                            <w:r w:rsidR="006B0B69">
                              <w:rPr>
                                <w:b/>
                                <w:color w:val="FFFFFF" w:themeColor="background1"/>
                                <w:sz w:val="20"/>
                              </w:rPr>
                              <w:t>– August 2019 (V1.00</w:t>
                            </w:r>
                            <w:r>
                              <w:rPr>
                                <w:b/>
                                <w:color w:val="FFFFFF" w:themeColor="background1"/>
                                <w:sz w:val="20"/>
                              </w:rPr>
                              <w:t>)</w:t>
                            </w:r>
                          </w:p>
                        </w:txbxContent>
                      </v:textbox>
                    </v:shape>
                  </w:pict>
                </mc:Fallback>
              </mc:AlternateContent>
            </w:r>
          </w:p>
        </w:tc>
      </w:tr>
    </w:tbl>
    <w:p w14:paraId="6BE73880" w14:textId="04AE9AE4" w:rsidR="00811514" w:rsidRDefault="009E09E2" w:rsidP="009E09E2">
      <w:pPr>
        <w:autoSpaceDE w:val="0"/>
        <w:autoSpaceDN w:val="0"/>
        <w:adjustRightInd w:val="0"/>
        <w:spacing w:before="240"/>
        <w:rPr>
          <w:color w:val="000000"/>
          <w:szCs w:val="24"/>
        </w:rPr>
      </w:pPr>
      <w:r>
        <w:rPr>
          <w:color w:val="000000"/>
          <w:szCs w:val="24"/>
        </w:rPr>
        <w:t>This briefing</w:t>
      </w:r>
      <w:r w:rsidRPr="00FF7911">
        <w:rPr>
          <w:color w:val="000000"/>
          <w:szCs w:val="24"/>
        </w:rPr>
        <w:t xml:space="preserve"> </w:t>
      </w:r>
      <w:r>
        <w:rPr>
          <w:color w:val="000000"/>
          <w:szCs w:val="24"/>
        </w:rPr>
        <w:t>paper has been</w:t>
      </w:r>
      <w:r w:rsidRPr="00FF7911">
        <w:rPr>
          <w:color w:val="000000"/>
          <w:szCs w:val="24"/>
        </w:rPr>
        <w:t xml:space="preserve"> </w:t>
      </w:r>
      <w:r>
        <w:rPr>
          <w:color w:val="000000"/>
          <w:szCs w:val="24"/>
        </w:rPr>
        <w:t>produc</w:t>
      </w:r>
      <w:r w:rsidRPr="00FF7911">
        <w:rPr>
          <w:color w:val="000000"/>
          <w:szCs w:val="24"/>
        </w:rPr>
        <w:t>ed by Public Health England</w:t>
      </w:r>
      <w:r>
        <w:rPr>
          <w:color w:val="000000"/>
          <w:szCs w:val="24"/>
        </w:rPr>
        <w:t xml:space="preserve">’s East of England </w:t>
      </w:r>
      <w:r w:rsidR="00855DBE">
        <w:rPr>
          <w:szCs w:val="24"/>
        </w:rPr>
        <w:t xml:space="preserve">Healthcare Public Health </w:t>
      </w:r>
      <w:r w:rsidR="00D87ADF" w:rsidRPr="0032487D">
        <w:rPr>
          <w:szCs w:val="24"/>
        </w:rPr>
        <w:t>Team</w:t>
      </w:r>
      <w:r w:rsidR="00CB7E8C">
        <w:rPr>
          <w:szCs w:val="24"/>
        </w:rPr>
        <w:t xml:space="preserve"> and</w:t>
      </w:r>
      <w:r w:rsidR="00D87ADF" w:rsidRPr="0032487D">
        <w:rPr>
          <w:szCs w:val="24"/>
        </w:rPr>
        <w:t xml:space="preserve"> </w:t>
      </w:r>
      <w:r w:rsidRPr="0032487D">
        <w:rPr>
          <w:szCs w:val="24"/>
        </w:rPr>
        <w:t xml:space="preserve">Health </w:t>
      </w:r>
      <w:r w:rsidR="0032487D" w:rsidRPr="0032487D">
        <w:rPr>
          <w:szCs w:val="24"/>
        </w:rPr>
        <w:t>Protection Team</w:t>
      </w:r>
      <w:r>
        <w:rPr>
          <w:color w:val="000000"/>
          <w:szCs w:val="24"/>
        </w:rPr>
        <w:t xml:space="preserve">. It is designed to provide easy access to key reference points and useful resources around </w:t>
      </w:r>
      <w:r w:rsidRPr="00FF7911">
        <w:rPr>
          <w:color w:val="000000"/>
          <w:szCs w:val="24"/>
        </w:rPr>
        <w:t>the</w:t>
      </w:r>
      <w:r w:rsidR="00293549">
        <w:rPr>
          <w:color w:val="000000"/>
          <w:szCs w:val="24"/>
        </w:rPr>
        <w:t xml:space="preserve"> antimicrobial resistance</w:t>
      </w:r>
      <w:r>
        <w:rPr>
          <w:color w:val="000000"/>
          <w:szCs w:val="24"/>
        </w:rPr>
        <w:t xml:space="preserve"> agenda </w:t>
      </w:r>
      <w:r w:rsidR="00811514">
        <w:rPr>
          <w:color w:val="000000"/>
          <w:szCs w:val="24"/>
        </w:rPr>
        <w:t>for strategic leads and commissioners</w:t>
      </w:r>
      <w:r w:rsidR="0004157E">
        <w:rPr>
          <w:color w:val="000000"/>
          <w:szCs w:val="24"/>
        </w:rPr>
        <w:t xml:space="preserve"> within Sustainability and Transformation Partnerships (STPs) and Integrated Care Systems (ICSs)</w:t>
      </w:r>
      <w:r w:rsidR="009E32EF">
        <w:rPr>
          <w:color w:val="000000"/>
          <w:szCs w:val="24"/>
        </w:rPr>
        <w:t xml:space="preserve">, </w:t>
      </w:r>
      <w:r>
        <w:rPr>
          <w:color w:val="000000"/>
          <w:szCs w:val="24"/>
        </w:rPr>
        <w:t>and will be updated on a regular basis as new information becomes available.</w:t>
      </w:r>
    </w:p>
    <w:p w14:paraId="3117C358" w14:textId="06777FD0" w:rsidR="00F245B6" w:rsidRPr="0004157E" w:rsidRDefault="009E09E2">
      <w:pPr>
        <w:autoSpaceDE w:val="0"/>
        <w:autoSpaceDN w:val="0"/>
        <w:adjustRightInd w:val="0"/>
        <w:spacing w:before="240"/>
        <w:rPr>
          <w:color w:val="000000"/>
          <w:szCs w:val="24"/>
        </w:rPr>
      </w:pPr>
      <w:r>
        <w:rPr>
          <w:color w:val="000000"/>
          <w:szCs w:val="24"/>
        </w:rPr>
        <w:t>The information in each section is presented chronologically, with the most recent first.</w:t>
      </w:r>
      <w:r w:rsidR="00811514">
        <w:rPr>
          <w:color w:val="000000"/>
          <w:szCs w:val="24"/>
        </w:rPr>
        <w:t xml:space="preserve"> </w:t>
      </w:r>
      <w:r w:rsidR="00F245B6">
        <w:rPr>
          <w:color w:val="000000"/>
          <w:szCs w:val="24"/>
        </w:rPr>
        <w:t>Those r</w:t>
      </w:r>
      <w:r w:rsidR="00A13D7C">
        <w:rPr>
          <w:color w:val="000000"/>
          <w:szCs w:val="24"/>
        </w:rPr>
        <w:t xml:space="preserve">esources relevant </w:t>
      </w:r>
      <w:r w:rsidR="00F245B6">
        <w:rPr>
          <w:color w:val="000000"/>
          <w:szCs w:val="24"/>
        </w:rPr>
        <w:t xml:space="preserve">specifically to NHS organisations are </w:t>
      </w:r>
      <w:r w:rsidR="00F245B6" w:rsidRPr="006B0B69">
        <w:rPr>
          <w:color w:val="000000"/>
          <w:szCs w:val="24"/>
        </w:rPr>
        <w:t>also indicated</w:t>
      </w:r>
      <w:r w:rsidR="0004157E" w:rsidRPr="0004157E">
        <w:rPr>
          <w:color w:val="000000"/>
          <w:szCs w:val="24"/>
          <w:u w:color="0432FF"/>
        </w:rPr>
        <w:t>.</w:t>
      </w:r>
    </w:p>
    <w:p w14:paraId="366B0F86" w14:textId="77777777" w:rsidR="009E09E2" w:rsidRDefault="009E09E2"/>
    <w:tbl>
      <w:tblPr>
        <w:tblStyle w:val="TableGrid"/>
        <w:tblpPr w:leftFromText="180" w:rightFromText="180" w:vertAnchor="text" w:horzAnchor="margin" w:tblpXSpec="center" w:tblpY="61"/>
        <w:tblW w:w="12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8002E"/>
        <w:tblLook w:val="04A0" w:firstRow="1" w:lastRow="0" w:firstColumn="1" w:lastColumn="0" w:noHBand="0" w:noVBand="1"/>
      </w:tblPr>
      <w:tblGrid>
        <w:gridCol w:w="12049"/>
      </w:tblGrid>
      <w:tr w:rsidR="009E09E2" w14:paraId="4B59C1D9" w14:textId="77777777" w:rsidTr="006E6AE3">
        <w:trPr>
          <w:cnfStyle w:val="100000000000" w:firstRow="1" w:lastRow="0" w:firstColumn="0" w:lastColumn="0" w:oddVBand="0" w:evenVBand="0" w:oddHBand="0" w:evenHBand="0" w:firstRowFirstColumn="0" w:firstRowLastColumn="0" w:lastRowFirstColumn="0" w:lastRowLastColumn="0"/>
          <w:trHeight w:val="584"/>
        </w:trPr>
        <w:tc>
          <w:tcPr>
            <w:tcW w:w="12049" w:type="dxa"/>
            <w:shd w:val="clear" w:color="auto" w:fill="98002E"/>
          </w:tcPr>
          <w:p w14:paraId="443F4C2A" w14:textId="146FCACE" w:rsidR="009E09E2" w:rsidRDefault="006B0B69" w:rsidP="00B02CFC">
            <w:pPr>
              <w:pStyle w:val="PHEBodycopy"/>
              <w:spacing w:line="240" w:lineRule="auto"/>
              <w:ind w:left="1026"/>
            </w:pPr>
            <w:r>
              <w:rPr>
                <w:sz w:val="32"/>
              </w:rPr>
              <w:t>State of play, recent developments and w</w:t>
            </w:r>
            <w:r w:rsidR="00B02CFC">
              <w:rPr>
                <w:sz w:val="32"/>
              </w:rPr>
              <w:t>ay forward</w:t>
            </w:r>
          </w:p>
        </w:tc>
      </w:tr>
    </w:tbl>
    <w:p w14:paraId="4D6E6C76" w14:textId="77777777" w:rsidR="009E09E2" w:rsidRPr="001B2907" w:rsidRDefault="009E09E2" w:rsidP="009E09E2">
      <w:pPr>
        <w:rPr>
          <w:sz w:val="4"/>
          <w:szCs w:val="4"/>
        </w:rPr>
      </w:pPr>
    </w:p>
    <w:p w14:paraId="0B346CCD" w14:textId="77777777" w:rsidR="009E09E2" w:rsidRDefault="009E09E2"/>
    <w:p w14:paraId="085139A5" w14:textId="7A156226" w:rsidR="00606351" w:rsidRDefault="00026841" w:rsidP="00606351">
      <w:pPr>
        <w:rPr>
          <w:lang w:val="en-US"/>
        </w:rPr>
      </w:pPr>
      <w:r w:rsidRPr="00026841">
        <w:rPr>
          <w:lang w:val="en-US"/>
        </w:rPr>
        <w:t xml:space="preserve">Antimicrobial resistance </w:t>
      </w:r>
      <w:r>
        <w:rPr>
          <w:lang w:val="en-US"/>
        </w:rPr>
        <w:t xml:space="preserve">(AMR) </w:t>
      </w:r>
      <w:r w:rsidRPr="00026841">
        <w:rPr>
          <w:lang w:val="en-US"/>
        </w:rPr>
        <w:t>arises when the organisms that cause infection</w:t>
      </w:r>
      <w:r w:rsidR="005D2655">
        <w:rPr>
          <w:lang w:val="en-US"/>
        </w:rPr>
        <w:t xml:space="preserve"> (microbes)</w:t>
      </w:r>
      <w:r w:rsidRPr="00026841">
        <w:rPr>
          <w:lang w:val="en-US"/>
        </w:rPr>
        <w:t xml:space="preserve"> evolve ways to survive treatments</w:t>
      </w:r>
      <w:r w:rsidR="0005698B">
        <w:rPr>
          <w:lang w:val="en-US"/>
        </w:rPr>
        <w:t xml:space="preserve"> such as</w:t>
      </w:r>
      <w:r w:rsidR="00730F14">
        <w:rPr>
          <w:lang w:val="en-US"/>
        </w:rPr>
        <w:t xml:space="preserve"> </w:t>
      </w:r>
      <w:r w:rsidR="0005698B">
        <w:rPr>
          <w:lang w:val="en-US"/>
        </w:rPr>
        <w:t>antibiotic</w:t>
      </w:r>
      <w:r w:rsidRPr="00026841">
        <w:rPr>
          <w:lang w:val="en-US"/>
        </w:rPr>
        <w:t>, antiviral and antifungal medicines</w:t>
      </w:r>
      <w:r w:rsidR="005D2655">
        <w:rPr>
          <w:lang w:val="en-US"/>
        </w:rPr>
        <w:t xml:space="preserve"> (collectively termed antimicrobials)</w:t>
      </w:r>
      <w:r w:rsidR="00F245B6">
        <w:rPr>
          <w:vertAlign w:val="superscript"/>
          <w:lang w:val="en-US"/>
        </w:rPr>
        <w:t>1</w:t>
      </w:r>
      <w:r w:rsidR="00147F35">
        <w:rPr>
          <w:lang w:val="en-US"/>
        </w:rPr>
        <w:t xml:space="preserve">. </w:t>
      </w:r>
      <w:r w:rsidR="00FA500A">
        <w:rPr>
          <w:lang w:val="en-US"/>
        </w:rPr>
        <w:t>R</w:t>
      </w:r>
      <w:r w:rsidR="00606351" w:rsidRPr="00606351">
        <w:rPr>
          <w:lang w:val="en-US"/>
        </w:rPr>
        <w:t xml:space="preserve">esistance is </w:t>
      </w:r>
      <w:r w:rsidR="00FA500A">
        <w:rPr>
          <w:lang w:val="en-US"/>
        </w:rPr>
        <w:t>a natural biological ph</w:t>
      </w:r>
      <w:r w:rsidR="0005698B">
        <w:rPr>
          <w:lang w:val="en-US"/>
        </w:rPr>
        <w:t>enomenon</w:t>
      </w:r>
      <w:r w:rsidR="00FA500A">
        <w:rPr>
          <w:lang w:val="en-US"/>
        </w:rPr>
        <w:t xml:space="preserve"> but is</w:t>
      </w:r>
      <w:r w:rsidR="00606351" w:rsidRPr="00606351">
        <w:rPr>
          <w:lang w:val="en-US"/>
        </w:rPr>
        <w:t xml:space="preserve"> increased and accelerated by various factors such as </w:t>
      </w:r>
      <w:r w:rsidR="00FA500A">
        <w:rPr>
          <w:lang w:val="en-US"/>
        </w:rPr>
        <w:t xml:space="preserve">medicines </w:t>
      </w:r>
      <w:r w:rsidR="00606351" w:rsidRPr="00606351">
        <w:rPr>
          <w:lang w:val="en-US"/>
        </w:rPr>
        <w:t xml:space="preserve">misuse, poor infection control practices and global trade and </w:t>
      </w:r>
      <w:r w:rsidR="007C231E" w:rsidRPr="00606351">
        <w:rPr>
          <w:lang w:val="en-US"/>
        </w:rPr>
        <w:t>travel.</w:t>
      </w:r>
    </w:p>
    <w:p w14:paraId="1C49029F" w14:textId="77777777" w:rsidR="00FA500A" w:rsidRPr="00606351" w:rsidRDefault="00FA500A" w:rsidP="00606351">
      <w:pPr>
        <w:rPr>
          <w:lang w:val="en-US"/>
        </w:rPr>
      </w:pPr>
    </w:p>
    <w:p w14:paraId="34CC2BED" w14:textId="41ED9D9D" w:rsidR="00395A6F" w:rsidRDefault="007C231E">
      <w:pPr>
        <w:rPr>
          <w:lang w:val="en-US"/>
        </w:rPr>
      </w:pPr>
      <w:r>
        <w:rPr>
          <w:lang w:val="en-US"/>
        </w:rPr>
        <w:t>Within AMR, a</w:t>
      </w:r>
      <w:r w:rsidR="00FA500A">
        <w:rPr>
          <w:lang w:val="en-US"/>
        </w:rPr>
        <w:t xml:space="preserve">ntibiotic resistance is of </w:t>
      </w:r>
      <w:proofErr w:type="gramStart"/>
      <w:r w:rsidR="00606351" w:rsidRPr="00606351">
        <w:rPr>
          <w:lang w:val="en-US"/>
        </w:rPr>
        <w:t>particular concern</w:t>
      </w:r>
      <w:proofErr w:type="gramEnd"/>
      <w:r w:rsidR="00FA500A">
        <w:rPr>
          <w:lang w:val="en-US"/>
        </w:rPr>
        <w:t>: m</w:t>
      </w:r>
      <w:r w:rsidR="00606351" w:rsidRPr="00606351">
        <w:rPr>
          <w:lang w:val="en-US"/>
        </w:rPr>
        <w:t xml:space="preserve">any </w:t>
      </w:r>
      <w:r w:rsidR="00FA500A">
        <w:rPr>
          <w:lang w:val="en-US"/>
        </w:rPr>
        <w:t xml:space="preserve">recent </w:t>
      </w:r>
      <w:r w:rsidR="00606351" w:rsidRPr="00606351">
        <w:rPr>
          <w:lang w:val="en-US"/>
        </w:rPr>
        <w:t>me</w:t>
      </w:r>
      <w:r w:rsidR="00FA500A">
        <w:rPr>
          <w:lang w:val="en-US"/>
        </w:rPr>
        <w:t xml:space="preserve">dical advances, such as </w:t>
      </w:r>
      <w:r w:rsidR="00606351" w:rsidRPr="00606351">
        <w:rPr>
          <w:lang w:val="en-US"/>
        </w:rPr>
        <w:t>organ transpla</w:t>
      </w:r>
      <w:r w:rsidR="00FA500A">
        <w:rPr>
          <w:lang w:val="en-US"/>
        </w:rPr>
        <w:t xml:space="preserve">ntation and cancer chemotherapy, require </w:t>
      </w:r>
      <w:r w:rsidR="00606351" w:rsidRPr="00606351">
        <w:rPr>
          <w:lang w:val="en-US"/>
        </w:rPr>
        <w:t>antibiotics to prevent and treat the bacterial infections that can be caused by the treatment</w:t>
      </w:r>
      <w:r w:rsidR="00F245B6">
        <w:rPr>
          <w:vertAlign w:val="superscript"/>
          <w:lang w:val="en-US"/>
        </w:rPr>
        <w:t>1</w:t>
      </w:r>
      <w:r w:rsidR="00FA500A">
        <w:rPr>
          <w:lang w:val="en-US"/>
        </w:rPr>
        <w:t>. Without effective antibiotics</w:t>
      </w:r>
      <w:r w:rsidR="00606351" w:rsidRPr="00606351">
        <w:rPr>
          <w:lang w:val="en-US"/>
        </w:rPr>
        <w:t xml:space="preserve"> even minor surgery and routi</w:t>
      </w:r>
      <w:r w:rsidR="00FA500A">
        <w:rPr>
          <w:lang w:val="en-US"/>
        </w:rPr>
        <w:t>ne operations could become high-</w:t>
      </w:r>
      <w:r w:rsidR="00606351" w:rsidRPr="00606351">
        <w:rPr>
          <w:lang w:val="en-US"/>
        </w:rPr>
        <w:t>risk procedures if serious infections can’t be treated.</w:t>
      </w:r>
      <w:r w:rsidR="00414861">
        <w:rPr>
          <w:lang w:val="en-US"/>
        </w:rPr>
        <w:t xml:space="preserve"> </w:t>
      </w:r>
      <w:r w:rsidR="007457A6">
        <w:rPr>
          <w:lang w:val="en-US"/>
        </w:rPr>
        <w:t>Without action, d</w:t>
      </w:r>
      <w:r w:rsidR="00414861">
        <w:rPr>
          <w:lang w:val="en-US"/>
        </w:rPr>
        <w:t xml:space="preserve">eaths attributable to AMR globally could rise </w:t>
      </w:r>
      <w:r w:rsidR="007457A6">
        <w:rPr>
          <w:lang w:val="en-US"/>
        </w:rPr>
        <w:t>to</w:t>
      </w:r>
      <w:r w:rsidR="00414861">
        <w:rPr>
          <w:lang w:val="en-US"/>
        </w:rPr>
        <w:t xml:space="preserve"> 10 million per year</w:t>
      </w:r>
      <w:r w:rsidR="00F245B6">
        <w:rPr>
          <w:vertAlign w:val="superscript"/>
          <w:lang w:val="en-US"/>
        </w:rPr>
        <w:t>2</w:t>
      </w:r>
      <w:r w:rsidR="00414861">
        <w:rPr>
          <w:lang w:val="en-US"/>
        </w:rPr>
        <w:t>.</w:t>
      </w:r>
    </w:p>
    <w:p w14:paraId="69F6C0DE" w14:textId="60A00050" w:rsidR="00224BBB" w:rsidRDefault="00224BBB">
      <w:pPr>
        <w:rPr>
          <w:lang w:val="en-US"/>
        </w:rPr>
      </w:pPr>
    </w:p>
    <w:p w14:paraId="692BE7AA" w14:textId="653870EA" w:rsidR="00327F00" w:rsidRDefault="00A84DF6" w:rsidP="00DE2DB8">
      <w:pPr>
        <w:rPr>
          <w:lang w:val="en-US"/>
        </w:rPr>
      </w:pPr>
      <w:r>
        <w:rPr>
          <w:lang w:val="en-US"/>
        </w:rPr>
        <w:t xml:space="preserve">The UK has long taken a leading role in stimulating </w:t>
      </w:r>
      <w:r w:rsidR="00F469D3">
        <w:rPr>
          <w:lang w:val="en-US"/>
        </w:rPr>
        <w:t xml:space="preserve">global </w:t>
      </w:r>
      <w:r>
        <w:rPr>
          <w:lang w:val="en-US"/>
        </w:rPr>
        <w:t>action on this issue, adopting a national strategy ahead of international calls to action by the World Health Assembly</w:t>
      </w:r>
      <w:r>
        <w:rPr>
          <w:vertAlign w:val="superscript"/>
          <w:lang w:val="en-US"/>
        </w:rPr>
        <w:t>3</w:t>
      </w:r>
      <w:r>
        <w:rPr>
          <w:lang w:val="en-US"/>
        </w:rPr>
        <w:t xml:space="preserve"> and Council of the EU</w:t>
      </w:r>
      <w:r>
        <w:rPr>
          <w:vertAlign w:val="superscript"/>
          <w:lang w:val="en-US"/>
        </w:rPr>
        <w:t>4</w:t>
      </w:r>
      <w:r>
        <w:rPr>
          <w:lang w:val="en-US"/>
        </w:rPr>
        <w:t xml:space="preserve">. The initial UK strategy set out to slow the </w:t>
      </w:r>
      <w:r w:rsidRPr="00DE2DB8">
        <w:rPr>
          <w:lang w:val="en-US"/>
        </w:rPr>
        <w:t>development and spread of AMR by focusing activities around a) improving knowledge and understanding, b) antimicrobial stewardship, and c) developing new diagnostics and</w:t>
      </w:r>
      <w:r w:rsidR="006337EC">
        <w:rPr>
          <w:lang w:val="en-US"/>
        </w:rPr>
        <w:t xml:space="preserve"> </w:t>
      </w:r>
      <w:r w:rsidR="00DE2DB8" w:rsidRPr="00DE2DB8">
        <w:rPr>
          <w:lang w:val="en-US"/>
        </w:rPr>
        <w:t>therapies</w:t>
      </w:r>
      <w:r w:rsidR="00DE2DB8" w:rsidRPr="00DE2DB8">
        <w:rPr>
          <w:vertAlign w:val="superscript"/>
          <w:lang w:val="en-US"/>
        </w:rPr>
        <w:t>5</w:t>
      </w:r>
      <w:r w:rsidR="00DE2DB8" w:rsidRPr="00DE2DB8">
        <w:rPr>
          <w:lang w:val="en-US"/>
        </w:rPr>
        <w:t>.</w:t>
      </w:r>
    </w:p>
    <w:p w14:paraId="7FA736C4" w14:textId="77777777" w:rsidR="00327F00" w:rsidRDefault="00327F00" w:rsidP="00DE2DB8">
      <w:pPr>
        <w:rPr>
          <w:lang w:val="en-US"/>
        </w:rPr>
      </w:pPr>
    </w:p>
    <w:p w14:paraId="52744B06" w14:textId="5A567BC9" w:rsidR="000F57D2" w:rsidRDefault="00BE2003" w:rsidP="00DE2DB8">
      <w:pPr>
        <w:rPr>
          <w:lang w:val="en-US"/>
        </w:rPr>
      </w:pPr>
      <w:r>
        <w:rPr>
          <w:lang w:val="en-US"/>
        </w:rPr>
        <w:t>However</w:t>
      </w:r>
      <w:r w:rsidR="00795895">
        <w:rPr>
          <w:lang w:val="en-US"/>
        </w:rPr>
        <w:t xml:space="preserve">, </w:t>
      </w:r>
      <w:r>
        <w:rPr>
          <w:lang w:val="en-US"/>
        </w:rPr>
        <w:t xml:space="preserve">regionally, </w:t>
      </w:r>
      <w:r w:rsidR="005901BD">
        <w:rPr>
          <w:lang w:val="en-US"/>
        </w:rPr>
        <w:t>inciden</w:t>
      </w:r>
      <w:r w:rsidR="000F57D2">
        <w:rPr>
          <w:lang w:val="en-US"/>
        </w:rPr>
        <w:t xml:space="preserve">ce of </w:t>
      </w:r>
      <w:r w:rsidR="00FA3CE8">
        <w:rPr>
          <w:lang w:val="en-US"/>
        </w:rPr>
        <w:t xml:space="preserve">key </w:t>
      </w:r>
      <w:r w:rsidR="000F57D2">
        <w:rPr>
          <w:lang w:val="en-US"/>
        </w:rPr>
        <w:t xml:space="preserve">drug-resistant infections, </w:t>
      </w:r>
      <w:r w:rsidR="005901BD">
        <w:rPr>
          <w:lang w:val="en-US"/>
        </w:rPr>
        <w:t xml:space="preserve">including </w:t>
      </w:r>
      <w:proofErr w:type="spellStart"/>
      <w:r w:rsidR="005901BD">
        <w:rPr>
          <w:lang w:val="en-US"/>
        </w:rPr>
        <w:t>Carbapenemase</w:t>
      </w:r>
      <w:proofErr w:type="spellEnd"/>
      <w:r w:rsidR="005901BD">
        <w:rPr>
          <w:lang w:val="en-US"/>
        </w:rPr>
        <w:t>-producing Enterobacteriaceae</w:t>
      </w:r>
      <w:r>
        <w:rPr>
          <w:lang w:val="en-US"/>
        </w:rPr>
        <w:t xml:space="preserve"> (CPE)</w:t>
      </w:r>
      <w:r w:rsidR="005901BD">
        <w:rPr>
          <w:lang w:val="en-US"/>
        </w:rPr>
        <w:t xml:space="preserve">, </w:t>
      </w:r>
      <w:r w:rsidR="005901BD">
        <w:rPr>
          <w:i/>
          <w:lang w:val="en-US"/>
        </w:rPr>
        <w:t>Clostridium difficile</w:t>
      </w:r>
      <w:r w:rsidR="005901BD">
        <w:rPr>
          <w:lang w:val="en-US"/>
        </w:rPr>
        <w:t xml:space="preserve"> infection </w:t>
      </w:r>
      <w:r>
        <w:rPr>
          <w:lang w:val="en-US"/>
        </w:rPr>
        <w:t xml:space="preserve">(CDI) </w:t>
      </w:r>
      <w:r w:rsidR="005901BD">
        <w:rPr>
          <w:lang w:val="en-US"/>
        </w:rPr>
        <w:t xml:space="preserve">and Gram-negative </w:t>
      </w:r>
      <w:proofErr w:type="spellStart"/>
      <w:r w:rsidR="005901BD">
        <w:rPr>
          <w:lang w:val="en-US"/>
        </w:rPr>
        <w:t>bacteraemia</w:t>
      </w:r>
      <w:proofErr w:type="spellEnd"/>
      <w:r w:rsidR="000F57D2">
        <w:rPr>
          <w:lang w:val="en-US"/>
        </w:rPr>
        <w:t>,</w:t>
      </w:r>
      <w:r w:rsidR="005901BD">
        <w:rPr>
          <w:lang w:val="en-US"/>
        </w:rPr>
        <w:t xml:space="preserve"> has continued to increa</w:t>
      </w:r>
      <w:r>
        <w:rPr>
          <w:lang w:val="en-US"/>
        </w:rPr>
        <w:t>se annually</w:t>
      </w:r>
      <w:r w:rsidR="008559B0">
        <w:rPr>
          <w:lang w:val="en-US"/>
        </w:rPr>
        <w:t xml:space="preserve"> while </w:t>
      </w:r>
      <w:r w:rsidR="00FA3CE8">
        <w:rPr>
          <w:lang w:val="en-US"/>
        </w:rPr>
        <w:t>methicillin</w:t>
      </w:r>
      <w:r w:rsidR="00E022DB">
        <w:rPr>
          <w:lang w:val="en-US"/>
        </w:rPr>
        <w:t>-</w:t>
      </w:r>
      <w:r w:rsidR="00FA3CE8">
        <w:rPr>
          <w:lang w:val="en-US"/>
        </w:rPr>
        <w:t xml:space="preserve">resistant </w:t>
      </w:r>
      <w:r w:rsidR="00FA3CE8">
        <w:rPr>
          <w:i/>
          <w:lang w:val="en-US"/>
        </w:rPr>
        <w:t>Staphylococcus aureus</w:t>
      </w:r>
      <w:r w:rsidR="002226B6">
        <w:rPr>
          <w:lang w:val="en-US"/>
        </w:rPr>
        <w:t xml:space="preserve"> (MRSA) </w:t>
      </w:r>
      <w:proofErr w:type="spellStart"/>
      <w:r w:rsidR="002226B6">
        <w:rPr>
          <w:lang w:val="en-US"/>
        </w:rPr>
        <w:t>bacteraemi</w:t>
      </w:r>
      <w:r w:rsidR="00FA3CE8">
        <w:rPr>
          <w:lang w:val="en-US"/>
        </w:rPr>
        <w:t>a</w:t>
      </w:r>
      <w:proofErr w:type="spellEnd"/>
      <w:r w:rsidR="00FA3CE8">
        <w:rPr>
          <w:lang w:val="en-US"/>
        </w:rPr>
        <w:t xml:space="preserve"> has not been eliminated</w:t>
      </w:r>
      <w:r w:rsidR="0092768E" w:rsidRPr="00653786">
        <w:rPr>
          <w:vertAlign w:val="superscript"/>
          <w:lang w:val="en-US"/>
        </w:rPr>
        <w:t>6</w:t>
      </w:r>
      <w:r w:rsidR="00FA3CE8">
        <w:rPr>
          <w:lang w:val="en-US"/>
        </w:rPr>
        <w:t>.</w:t>
      </w:r>
      <w:r w:rsidR="00894C40">
        <w:rPr>
          <w:lang w:val="en-US"/>
        </w:rPr>
        <w:t xml:space="preserve"> </w:t>
      </w:r>
      <w:r w:rsidR="00EE46D6">
        <w:rPr>
          <w:lang w:val="en-US"/>
        </w:rPr>
        <w:t xml:space="preserve">Over 70% of these infections are acquired in the community </w:t>
      </w:r>
      <w:r w:rsidR="00F469D3">
        <w:rPr>
          <w:lang w:val="en-US"/>
        </w:rPr>
        <w:t>but</w:t>
      </w:r>
      <w:r w:rsidR="00EE46D6">
        <w:rPr>
          <w:lang w:val="en-US"/>
        </w:rPr>
        <w:t xml:space="preserve"> some </w:t>
      </w:r>
      <w:r w:rsidR="00F469D3">
        <w:rPr>
          <w:lang w:val="en-US"/>
        </w:rPr>
        <w:t>of these already-</w:t>
      </w:r>
      <w:r w:rsidR="00EE46D6">
        <w:rPr>
          <w:lang w:val="en-US"/>
        </w:rPr>
        <w:t>infected individuals are accepted into sec</w:t>
      </w:r>
      <w:r w:rsidR="006A4B30">
        <w:rPr>
          <w:lang w:val="en-US"/>
        </w:rPr>
        <w:t xml:space="preserve">ondary </w:t>
      </w:r>
      <w:r w:rsidR="00F469D3">
        <w:rPr>
          <w:lang w:val="en-US"/>
        </w:rPr>
        <w:t xml:space="preserve">care </w:t>
      </w:r>
      <w:proofErr w:type="spellStart"/>
      <w:r w:rsidR="00F469D3">
        <w:rPr>
          <w:lang w:val="en-US"/>
        </w:rPr>
        <w:t>centres</w:t>
      </w:r>
      <w:proofErr w:type="spellEnd"/>
      <w:r w:rsidR="00F469D3">
        <w:rPr>
          <w:lang w:val="en-US"/>
        </w:rPr>
        <w:t xml:space="preserve"> in the East of England.</w:t>
      </w:r>
    </w:p>
    <w:p w14:paraId="4054F506" w14:textId="77777777" w:rsidR="00FA3CE8" w:rsidRDefault="00FA3CE8" w:rsidP="00DE2DB8">
      <w:pPr>
        <w:rPr>
          <w:lang w:val="en-US"/>
        </w:rPr>
      </w:pPr>
    </w:p>
    <w:p w14:paraId="5C54E9A7" w14:textId="6CAF917A" w:rsidR="00281DC6" w:rsidRPr="0060275D" w:rsidRDefault="00AE6E9A" w:rsidP="0060275D">
      <w:pPr>
        <w:rPr>
          <w:lang w:val="en-US"/>
        </w:rPr>
      </w:pPr>
      <w:r>
        <w:rPr>
          <w:lang w:val="en-US"/>
        </w:rPr>
        <w:lastRenderedPageBreak/>
        <w:t>The</w:t>
      </w:r>
      <w:r w:rsidR="00DE2DB8" w:rsidRPr="00DE2DB8">
        <w:rPr>
          <w:lang w:val="en-US"/>
        </w:rPr>
        <w:t xml:space="preserve"> recently revised and updated national action plan</w:t>
      </w:r>
      <w:r w:rsidR="00653786">
        <w:rPr>
          <w:vertAlign w:val="superscript"/>
          <w:lang w:val="en-US"/>
        </w:rPr>
        <w:t>7</w:t>
      </w:r>
      <w:r w:rsidR="00DE2DB8" w:rsidRPr="00DE2DB8">
        <w:rPr>
          <w:lang w:val="en-US"/>
        </w:rPr>
        <w:t xml:space="preserve"> now focusses on ‘</w:t>
      </w:r>
      <w:r w:rsidR="007874FB">
        <w:rPr>
          <w:lang w:val="en-US"/>
        </w:rPr>
        <w:t>O</w:t>
      </w:r>
      <w:r w:rsidR="00DE2DB8" w:rsidRPr="00DE2DB8">
        <w:rPr>
          <w:lang w:val="en-US"/>
        </w:rPr>
        <w:t xml:space="preserve">ne </w:t>
      </w:r>
      <w:r w:rsidR="007874FB">
        <w:rPr>
          <w:lang w:val="en-US"/>
        </w:rPr>
        <w:t>H</w:t>
      </w:r>
      <w:r w:rsidR="00DE2DB8" w:rsidRPr="00DE2DB8">
        <w:rPr>
          <w:lang w:val="en-US"/>
        </w:rPr>
        <w:t>ealth’ approaches to a) reduce need for and unintentional exposure to</w:t>
      </w:r>
      <w:r w:rsidR="00FD68E7">
        <w:rPr>
          <w:lang w:val="en-US"/>
        </w:rPr>
        <w:t xml:space="preserve"> </w:t>
      </w:r>
      <w:r w:rsidR="00B86C42">
        <w:rPr>
          <w:lang w:val="en-US"/>
        </w:rPr>
        <w:t>antimicrobials, b)</w:t>
      </w:r>
      <w:r w:rsidR="00DE2DB8" w:rsidRPr="00DE2DB8">
        <w:rPr>
          <w:lang w:val="en-US"/>
        </w:rPr>
        <w:t xml:space="preserve"> optimize use of antimicrobials, and c) invest in innovation, supply and access, with the ultimate ambition of containing, controlling and mitigating AMR globally by 2040</w:t>
      </w:r>
      <w:r w:rsidR="00653786">
        <w:rPr>
          <w:vertAlign w:val="superscript"/>
          <w:lang w:val="en-US"/>
        </w:rPr>
        <w:t>8</w:t>
      </w:r>
      <w:r w:rsidR="00DE2DB8" w:rsidRPr="00DE2DB8">
        <w:rPr>
          <w:lang w:val="en-US"/>
        </w:rPr>
        <w:t>.</w:t>
      </w:r>
    </w:p>
    <w:p w14:paraId="1E5C6C2F" w14:textId="77777777" w:rsidR="00281DC6" w:rsidRDefault="00281DC6"/>
    <w:tbl>
      <w:tblPr>
        <w:tblStyle w:val="TableGrid"/>
        <w:tblpPr w:leftFromText="180" w:rightFromText="180" w:vertAnchor="text" w:horzAnchor="margin" w:tblpXSpec="center" w:tblpY="61"/>
        <w:tblW w:w="12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8002E"/>
        <w:tblLook w:val="04A0" w:firstRow="1" w:lastRow="0" w:firstColumn="1" w:lastColumn="0" w:noHBand="0" w:noVBand="1"/>
      </w:tblPr>
      <w:tblGrid>
        <w:gridCol w:w="12049"/>
      </w:tblGrid>
      <w:tr w:rsidR="00293549" w14:paraId="3A4B265B" w14:textId="77777777" w:rsidTr="0012781F">
        <w:trPr>
          <w:cnfStyle w:val="100000000000" w:firstRow="1" w:lastRow="0" w:firstColumn="0" w:lastColumn="0" w:oddVBand="0" w:evenVBand="0" w:oddHBand="0" w:evenHBand="0" w:firstRowFirstColumn="0" w:firstRowLastColumn="0" w:lastRowFirstColumn="0" w:lastRowLastColumn="0"/>
          <w:trHeight w:val="584"/>
        </w:trPr>
        <w:tc>
          <w:tcPr>
            <w:tcW w:w="12049" w:type="dxa"/>
            <w:shd w:val="clear" w:color="auto" w:fill="98002E"/>
          </w:tcPr>
          <w:p w14:paraId="0C0BC32C" w14:textId="77777777" w:rsidR="00293549" w:rsidRDefault="00293549" w:rsidP="0012781F">
            <w:pPr>
              <w:pStyle w:val="PHEBodycopy"/>
              <w:spacing w:line="240" w:lineRule="auto"/>
              <w:ind w:left="1026"/>
            </w:pPr>
            <w:r>
              <w:rPr>
                <w:sz w:val="32"/>
              </w:rPr>
              <w:t>National policy and reports</w:t>
            </w:r>
          </w:p>
        </w:tc>
      </w:tr>
    </w:tbl>
    <w:p w14:paraId="70900442" w14:textId="77777777" w:rsidR="00293549" w:rsidRDefault="00293549"/>
    <w:p w14:paraId="753EB236" w14:textId="77777777" w:rsidR="00A715FD" w:rsidRPr="00127E4C" w:rsidRDefault="00127E4C">
      <w:pPr>
        <w:rPr>
          <w:b/>
        </w:rPr>
      </w:pPr>
      <w:r w:rsidRPr="00127E4C">
        <w:rPr>
          <w:b/>
        </w:rPr>
        <w:t>NHS Long Term Plan</w:t>
      </w:r>
    </w:p>
    <w:p w14:paraId="137B2442" w14:textId="0A1CE306" w:rsidR="00980729" w:rsidRDefault="00127E4C">
      <w:r>
        <w:t xml:space="preserve">The </w:t>
      </w:r>
      <w:hyperlink r:id="rId9" w:history="1">
        <w:r w:rsidRPr="006B0B69">
          <w:rPr>
            <w:rStyle w:val="Hyperlink"/>
            <w:b/>
            <w:u w:val="single"/>
          </w:rPr>
          <w:t>NHS Long Term Plan</w:t>
        </w:r>
      </w:hyperlink>
      <w:r w:rsidR="00AA67D9">
        <w:t xml:space="preserve"> (</w:t>
      </w:r>
      <w:r>
        <w:rPr>
          <w:b/>
        </w:rPr>
        <w:t>January 2019</w:t>
      </w:r>
      <w:r>
        <w:t xml:space="preserve">) </w:t>
      </w:r>
      <w:r w:rsidR="00195531">
        <w:t xml:space="preserve">requires the health service to continue </w:t>
      </w:r>
    </w:p>
    <w:p w14:paraId="65DEEDF3" w14:textId="2B3765B9" w:rsidR="00A23E72" w:rsidRDefault="00A93F14">
      <w:r>
        <w:t>s</w:t>
      </w:r>
      <w:r w:rsidR="00195531">
        <w:t xml:space="preserve">upporting the implementation and delivery of </w:t>
      </w:r>
      <w:r w:rsidR="00127E4C">
        <w:t>the UK</w:t>
      </w:r>
      <w:r w:rsidR="00127E4C" w:rsidRPr="006B0B69">
        <w:t xml:space="preserve"> </w:t>
      </w:r>
      <w:hyperlink r:id="rId10" w:history="1">
        <w:r w:rsidR="00127E4C" w:rsidRPr="006B0B69">
          <w:rPr>
            <w:rStyle w:val="Hyperlink"/>
            <w:b/>
            <w:u w:val="single"/>
          </w:rPr>
          <w:t>5-year action plan</w:t>
        </w:r>
      </w:hyperlink>
      <w:r w:rsidR="00127E4C">
        <w:t xml:space="preserve"> </w:t>
      </w:r>
      <w:r w:rsidR="00AB2D0D">
        <w:t xml:space="preserve">and </w:t>
      </w:r>
      <w:hyperlink r:id="rId11" w:history="1">
        <w:r w:rsidR="00AB2D0D" w:rsidRPr="006B0B69">
          <w:rPr>
            <w:rStyle w:val="Hyperlink"/>
            <w:b/>
            <w:u w:val="single"/>
          </w:rPr>
          <w:t>20-year vision</w:t>
        </w:r>
      </w:hyperlink>
      <w:r w:rsidR="00AB2D0D">
        <w:t xml:space="preserve"> for AMR</w:t>
      </w:r>
      <w:r w:rsidR="00127E4C">
        <w:t xml:space="preserve"> (</w:t>
      </w:r>
      <w:r w:rsidR="00127E4C">
        <w:rPr>
          <w:b/>
        </w:rPr>
        <w:t>January 2019</w:t>
      </w:r>
      <w:r w:rsidR="00576A78">
        <w:t>)</w:t>
      </w:r>
      <w:r w:rsidR="00AB2D0D">
        <w:t xml:space="preserve">. </w:t>
      </w:r>
      <w:r w:rsidR="00A23E72">
        <w:t>The</w:t>
      </w:r>
      <w:r w:rsidR="00A4730B">
        <w:t xml:space="preserve">se plans call for </w:t>
      </w:r>
      <w:r w:rsidR="007874FB">
        <w:t>local, national and global One Health</w:t>
      </w:r>
      <w:r w:rsidR="00A4730B">
        <w:t xml:space="preserve"> approaches in c</w:t>
      </w:r>
      <w:r w:rsidR="004A341D">
        <w:t>ollaboration with other nations and</w:t>
      </w:r>
      <w:r w:rsidR="00A4730B">
        <w:t xml:space="preserve"> partners, with the ambition</w:t>
      </w:r>
      <w:r w:rsidR="00A23E72">
        <w:t xml:space="preserve"> </w:t>
      </w:r>
      <w:r w:rsidR="00A4730B">
        <w:t>of containing, controlling and mitigating</w:t>
      </w:r>
      <w:r w:rsidR="00A23E72">
        <w:t xml:space="preserve"> AMR globally by 2040.</w:t>
      </w:r>
    </w:p>
    <w:p w14:paraId="37007CC3" w14:textId="3A90530D" w:rsidR="008D014B" w:rsidRDefault="008D014B"/>
    <w:p w14:paraId="39B99746" w14:textId="559FA5F2" w:rsidR="00681589" w:rsidRPr="006B0B69" w:rsidRDefault="00681589" w:rsidP="00681589">
      <w:pPr>
        <w:rPr>
          <w:b/>
        </w:rPr>
      </w:pPr>
      <w:r w:rsidRPr="006B0B69">
        <w:rPr>
          <w:b/>
        </w:rPr>
        <w:t xml:space="preserve">NICE </w:t>
      </w:r>
      <w:r w:rsidR="00CB7E8C" w:rsidRPr="006B0B69">
        <w:rPr>
          <w:b/>
        </w:rPr>
        <w:t>I</w:t>
      </w:r>
      <w:r w:rsidRPr="006B0B69">
        <w:rPr>
          <w:b/>
        </w:rPr>
        <w:t>mpact AMR</w:t>
      </w:r>
    </w:p>
    <w:p w14:paraId="57100B6E" w14:textId="28ACC1DF" w:rsidR="004A341D" w:rsidRDefault="00681589">
      <w:r>
        <w:t xml:space="preserve">This </w:t>
      </w:r>
      <w:hyperlink r:id="rId12" w:history="1">
        <w:r w:rsidRPr="006B0B69">
          <w:rPr>
            <w:rStyle w:val="Hyperlink"/>
            <w:b/>
            <w:u w:val="single"/>
          </w:rPr>
          <w:t>report</w:t>
        </w:r>
      </w:hyperlink>
      <w:r>
        <w:t xml:space="preserve"> (</w:t>
      </w:r>
      <w:r>
        <w:rPr>
          <w:b/>
        </w:rPr>
        <w:t>November 2018</w:t>
      </w:r>
      <w:r>
        <w:t>) details how NICE’s evidence-based guidance can change prescribing practice to help slow the emergence of AMR and ensure antibiotics remain effective treatments for managing infections.</w:t>
      </w:r>
      <w:r w:rsidR="00886BC4">
        <w:t xml:space="preserve"> It includes </w:t>
      </w:r>
      <w:r w:rsidR="008F3FB8">
        <w:t xml:space="preserve">ambitions </w:t>
      </w:r>
      <w:r w:rsidR="0032577F">
        <w:t>for</w:t>
      </w:r>
      <w:r w:rsidR="008F3FB8">
        <w:t xml:space="preserve"> antimicrobial prescribing in primary care, antimicrobial stewardship in secondary care and the specific scenario of sepsis.</w:t>
      </w:r>
    </w:p>
    <w:p w14:paraId="3FDD3DF7" w14:textId="56F6A8EC" w:rsidR="00A033A4" w:rsidRPr="00281DC6" w:rsidRDefault="00A033A4" w:rsidP="00A033A4">
      <w:pPr>
        <w:rPr>
          <w:lang w:val="en-US"/>
        </w:rPr>
      </w:pPr>
    </w:p>
    <w:p w14:paraId="1D565BEF" w14:textId="77777777" w:rsidR="00055E6E" w:rsidRDefault="00055E6E" w:rsidP="00055E6E">
      <w:pPr>
        <w:rPr>
          <w:b/>
        </w:rPr>
      </w:pPr>
      <w:r>
        <w:rPr>
          <w:b/>
        </w:rPr>
        <w:t>English Surveillance Programme for Antimicrobial Utilisation and Resistance (ESPAUR) Report</w:t>
      </w:r>
    </w:p>
    <w:p w14:paraId="7C8C9BD4" w14:textId="1511A6A2" w:rsidR="00055E6E" w:rsidRDefault="00055E6E" w:rsidP="00055E6E">
      <w:pPr>
        <w:rPr>
          <w:b/>
        </w:rPr>
      </w:pPr>
      <w:r>
        <w:t xml:space="preserve">This PHE </w:t>
      </w:r>
      <w:hyperlink r:id="rId13" w:history="1">
        <w:r w:rsidRPr="006B0B69">
          <w:rPr>
            <w:rStyle w:val="Hyperlink"/>
            <w:b/>
            <w:u w:val="single"/>
          </w:rPr>
          <w:t>annual report</w:t>
        </w:r>
      </w:hyperlink>
      <w:r>
        <w:t xml:space="preserve"> </w:t>
      </w:r>
      <w:r w:rsidRPr="0012412C">
        <w:t>(</w:t>
      </w:r>
      <w:r>
        <w:rPr>
          <w:b/>
        </w:rPr>
        <w:t>updated November 2018</w:t>
      </w:r>
      <w:r w:rsidRPr="0012412C">
        <w:t>)</w:t>
      </w:r>
      <w:r>
        <w:t xml:space="preserve"> presents national data on antibiotic prescribing and resistance, antimicrobial stewardship implementation, education and engagement activities. It sets a standard to compare antimicrobial use and resistance in successive years and acts as a resource for commissioning and implementing antimicrobial stewardship policies in England.</w:t>
      </w:r>
    </w:p>
    <w:p w14:paraId="59FEC19C" w14:textId="77777777" w:rsidR="00055E6E" w:rsidRDefault="00055E6E" w:rsidP="00055E6E">
      <w:pPr>
        <w:rPr>
          <w:b/>
        </w:rPr>
      </w:pPr>
    </w:p>
    <w:p w14:paraId="4A90D551" w14:textId="3942FD5E" w:rsidR="00055E6E" w:rsidRDefault="00055E6E" w:rsidP="00055E6E">
      <w:pPr>
        <w:rPr>
          <w:b/>
        </w:rPr>
      </w:pPr>
      <w:r>
        <w:rPr>
          <w:b/>
        </w:rPr>
        <w:t>Health and Social Care Committee Report on AMR</w:t>
      </w:r>
    </w:p>
    <w:p w14:paraId="315459D8" w14:textId="0BAB09B1" w:rsidR="00055E6E" w:rsidRPr="00FE4DE1" w:rsidRDefault="00055E6E" w:rsidP="00055E6E">
      <w:r>
        <w:t xml:space="preserve">This </w:t>
      </w:r>
      <w:hyperlink r:id="rId14" w:history="1">
        <w:r w:rsidRPr="006B0B69">
          <w:rPr>
            <w:rStyle w:val="Hyperlink"/>
            <w:b/>
            <w:u w:val="single"/>
          </w:rPr>
          <w:t>report</w:t>
        </w:r>
      </w:hyperlink>
      <w:r>
        <w:t xml:space="preserve"> (</w:t>
      </w:r>
      <w:r>
        <w:rPr>
          <w:b/>
        </w:rPr>
        <w:t>October 2018</w:t>
      </w:r>
      <w:r>
        <w:t>) makes recommendations in 5 key areas for tackling AMR: 1) Priority and political leadership, 2) Pharmaceutical market failure, 3)</w:t>
      </w:r>
      <w:r w:rsidR="006367DF">
        <w:t xml:space="preserve"> </w:t>
      </w:r>
      <w:r>
        <w:t>Antimicrobial use in healthcare, 4) Antimicrobial use in animals, and 5) Antimicrobials and the environment.</w:t>
      </w:r>
    </w:p>
    <w:p w14:paraId="0C079002" w14:textId="77777777" w:rsidR="00055E6E" w:rsidRDefault="00055E6E" w:rsidP="00055E6E">
      <w:pPr>
        <w:rPr>
          <w:lang w:val="en-US"/>
        </w:rPr>
      </w:pPr>
    </w:p>
    <w:p w14:paraId="192C5CB8" w14:textId="77777777" w:rsidR="00055E6E" w:rsidRDefault="00055E6E" w:rsidP="00055E6E">
      <w:pPr>
        <w:rPr>
          <w:b/>
        </w:rPr>
      </w:pPr>
      <w:r>
        <w:rPr>
          <w:b/>
        </w:rPr>
        <w:t>Call to Action on AMR</w:t>
      </w:r>
    </w:p>
    <w:p w14:paraId="7A5A473A" w14:textId="2AB3D786" w:rsidR="00055E6E" w:rsidRDefault="00055E6E" w:rsidP="00055E6E">
      <w:pPr>
        <w:rPr>
          <w:b/>
        </w:rPr>
      </w:pPr>
      <w:r>
        <w:t xml:space="preserve">This </w:t>
      </w:r>
      <w:hyperlink r:id="rId15" w:history="1">
        <w:r w:rsidRPr="006B0B69">
          <w:rPr>
            <w:rStyle w:val="Hyperlink"/>
            <w:b/>
            <w:u w:val="single"/>
          </w:rPr>
          <w:t>report</w:t>
        </w:r>
      </w:hyperlink>
      <w:r>
        <w:t xml:space="preserve"> (</w:t>
      </w:r>
      <w:r>
        <w:rPr>
          <w:b/>
        </w:rPr>
        <w:t>November 2017</w:t>
      </w:r>
      <w:r>
        <w:t xml:space="preserve">) summarises the discussion between government ministers and CEOs from across the </w:t>
      </w:r>
      <w:r w:rsidR="007874FB">
        <w:t>One Health</w:t>
      </w:r>
      <w:r>
        <w:t xml:space="preserve"> agenda working to tackle AMR. It identifies 10 underpinning principles agreed by the co-hosts, including the UK government, </w:t>
      </w:r>
      <w:proofErr w:type="spellStart"/>
      <w:r>
        <w:t>Wellcome</w:t>
      </w:r>
      <w:proofErr w:type="spellEnd"/>
      <w:r>
        <w:t xml:space="preserve"> Trust and UN Foundation.</w:t>
      </w:r>
    </w:p>
    <w:p w14:paraId="5BD30C6F" w14:textId="6ABC25C6" w:rsidR="00055E6E" w:rsidRDefault="00055E6E" w:rsidP="00A84DF6">
      <w:pPr>
        <w:rPr>
          <w:b/>
        </w:rPr>
      </w:pPr>
    </w:p>
    <w:p w14:paraId="286FB9C2" w14:textId="6F09C343" w:rsidR="0039515B" w:rsidRPr="006B0B69" w:rsidRDefault="0039515B" w:rsidP="0039515B">
      <w:pPr>
        <w:rPr>
          <w:b/>
        </w:rPr>
      </w:pPr>
      <w:r w:rsidRPr="006B0B69">
        <w:rPr>
          <w:b/>
        </w:rPr>
        <w:t>Embedding National Antimicrobial Prescribing and Stewardship Competences into Curricula</w:t>
      </w:r>
    </w:p>
    <w:p w14:paraId="4F01FB90" w14:textId="4BFA1500" w:rsidR="0039515B" w:rsidRDefault="0039515B" w:rsidP="0039515B">
      <w:pPr>
        <w:rPr>
          <w:b/>
        </w:rPr>
      </w:pPr>
      <w:r>
        <w:t xml:space="preserve">This </w:t>
      </w:r>
      <w:hyperlink r:id="rId16" w:history="1">
        <w:r w:rsidRPr="006B0B69">
          <w:rPr>
            <w:rStyle w:val="Hyperlink"/>
            <w:b/>
            <w:u w:val="single"/>
          </w:rPr>
          <w:t>report</w:t>
        </w:r>
      </w:hyperlink>
      <w:r>
        <w:t xml:space="preserve"> (</w:t>
      </w:r>
      <w:r>
        <w:rPr>
          <w:b/>
        </w:rPr>
        <w:t>August 2016</w:t>
      </w:r>
      <w:r>
        <w:t xml:space="preserve">) by Health Education England summarises the </w:t>
      </w:r>
      <w:r w:rsidR="00B72C9E">
        <w:t>results from a survey</w:t>
      </w:r>
      <w:r>
        <w:t xml:space="preserve"> on the embedding of national antimicrobial prescribing and stewardship competences into health education curricula</w:t>
      </w:r>
      <w:r w:rsidR="00B72C9E">
        <w:t xml:space="preserve"> at 45 universities</w:t>
      </w:r>
      <w:r>
        <w:t>. It includes recommendations for health education institutions and other stakeholders.</w:t>
      </w:r>
    </w:p>
    <w:p w14:paraId="6EC2E94A" w14:textId="77777777" w:rsidR="0039515B" w:rsidRDefault="0039515B" w:rsidP="00A84DF6">
      <w:pPr>
        <w:rPr>
          <w:b/>
        </w:rPr>
      </w:pPr>
    </w:p>
    <w:p w14:paraId="1058DBDF" w14:textId="746B84D0" w:rsidR="00A84DF6" w:rsidRDefault="00A84DF6" w:rsidP="00A84DF6">
      <w:pPr>
        <w:rPr>
          <w:b/>
        </w:rPr>
      </w:pPr>
      <w:r w:rsidRPr="0017243A">
        <w:rPr>
          <w:b/>
        </w:rPr>
        <w:t>Review on AMR</w:t>
      </w:r>
    </w:p>
    <w:p w14:paraId="17D98F3D" w14:textId="28045E3C" w:rsidR="00A84DF6" w:rsidRPr="00A84DF6" w:rsidRDefault="00A84DF6">
      <w:r>
        <w:t xml:space="preserve">The </w:t>
      </w:r>
      <w:hyperlink r:id="rId17" w:history="1">
        <w:r w:rsidR="006B0B69" w:rsidRPr="006B0B69">
          <w:rPr>
            <w:rStyle w:val="Hyperlink"/>
            <w:b/>
            <w:u w:val="single"/>
          </w:rPr>
          <w:t>review</w:t>
        </w:r>
      </w:hyperlink>
      <w:r>
        <w:t xml:space="preserve"> (</w:t>
      </w:r>
      <w:r>
        <w:rPr>
          <w:b/>
        </w:rPr>
        <w:t>updated May 2016</w:t>
      </w:r>
      <w:r>
        <w:t xml:space="preserve">) examines and boosts awareness of the economic issues surrounding the development, containment and spread of AMR and recommends international level action to increase investment in research and development of new antimicrobial drugs. It has published a series of reports quantifying the future economic impact of rising drug </w:t>
      </w:r>
      <w:r>
        <w:lastRenderedPageBreak/>
        <w:t>resistance, assessing the development pipeline for new antibiotics and identifying key areas where action is required.</w:t>
      </w:r>
    </w:p>
    <w:p w14:paraId="3E31AF41" w14:textId="3D08228B" w:rsidR="00967197" w:rsidRDefault="00967197"/>
    <w:p w14:paraId="65C92342" w14:textId="07FB98B5" w:rsidR="00E864A0" w:rsidRDefault="00276D17">
      <w:pPr>
        <w:rPr>
          <w:b/>
        </w:rPr>
      </w:pPr>
      <w:r>
        <w:rPr>
          <w:b/>
        </w:rPr>
        <w:t>Global Action Plan on AMR</w:t>
      </w:r>
    </w:p>
    <w:p w14:paraId="14E62F21" w14:textId="0AC24783" w:rsidR="001C5AAD" w:rsidRPr="00D47C28" w:rsidRDefault="0013208D">
      <w:r w:rsidRPr="0013208D">
        <w:t>This</w:t>
      </w:r>
      <w:r w:rsidR="007874FB" w:rsidRPr="006B0B69">
        <w:rPr>
          <w:b/>
        </w:rPr>
        <w:t xml:space="preserve"> </w:t>
      </w:r>
      <w:hyperlink r:id="rId18" w:history="1">
        <w:r w:rsidR="007874FB" w:rsidRPr="006B0B69">
          <w:rPr>
            <w:rStyle w:val="Hyperlink"/>
            <w:b/>
            <w:u w:val="single"/>
          </w:rPr>
          <w:t>action</w:t>
        </w:r>
        <w:r w:rsidRPr="006B0B69">
          <w:rPr>
            <w:rStyle w:val="Hyperlink"/>
            <w:b/>
            <w:u w:val="single"/>
          </w:rPr>
          <w:t xml:space="preserve"> plan</w:t>
        </w:r>
      </w:hyperlink>
      <w:r w:rsidRPr="0013208D">
        <w:t xml:space="preserve"> </w:t>
      </w:r>
      <w:r w:rsidR="006C73E3">
        <w:t>(</w:t>
      </w:r>
      <w:r w:rsidR="006C73E3">
        <w:rPr>
          <w:b/>
        </w:rPr>
        <w:t>2015</w:t>
      </w:r>
      <w:r w:rsidR="006C73E3">
        <w:t>)</w:t>
      </w:r>
      <w:r w:rsidR="00DC6594">
        <w:t>, authored by the World Health Organisation,</w:t>
      </w:r>
      <w:r w:rsidR="006C73E3">
        <w:t xml:space="preserve"> </w:t>
      </w:r>
      <w:r w:rsidR="007874FB">
        <w:t>calls for an effective One Health</w:t>
      </w:r>
      <w:r w:rsidR="00D86D65">
        <w:t xml:space="preserve"> approach involving coordination among numerous international sectors and actors</w:t>
      </w:r>
      <w:r w:rsidR="004A75DF">
        <w:t xml:space="preserve"> in order to deliver on 5 objectives and thereby ensure treatment and prevention of infectious diseases with q</w:t>
      </w:r>
      <w:r w:rsidR="00DC6594">
        <w:t>uality-</w:t>
      </w:r>
      <w:r w:rsidR="004A75DF">
        <w:t xml:space="preserve">assured, safe and effective medicines. The action plan recognises and addresses the variable resources nations </w:t>
      </w:r>
      <w:proofErr w:type="gramStart"/>
      <w:r w:rsidR="004A75DF">
        <w:t>have to</w:t>
      </w:r>
      <w:proofErr w:type="gramEnd"/>
      <w:r w:rsidR="004A75DF">
        <w:t xml:space="preserve"> combat AMR and the economic factors that discourage development of replacement products by the pharmaceutical industry.</w:t>
      </w:r>
    </w:p>
    <w:p w14:paraId="0BE50C18" w14:textId="77777777" w:rsidR="005B19AC" w:rsidRDefault="005B19AC"/>
    <w:p w14:paraId="5974ED32" w14:textId="34DE7109" w:rsidR="00324084" w:rsidRDefault="00324084">
      <w:pPr>
        <w:rPr>
          <w:b/>
        </w:rPr>
      </w:pPr>
      <w:r>
        <w:rPr>
          <w:b/>
        </w:rPr>
        <w:t xml:space="preserve">Chief Medical Officer’s </w:t>
      </w:r>
      <w:r w:rsidR="00CB7E8C">
        <w:rPr>
          <w:b/>
        </w:rPr>
        <w:t>R</w:t>
      </w:r>
      <w:r w:rsidR="00911D1F">
        <w:rPr>
          <w:b/>
        </w:rPr>
        <w:t xml:space="preserve">eport on AMR and </w:t>
      </w:r>
      <w:r w:rsidR="00CB7E8C">
        <w:rPr>
          <w:b/>
        </w:rPr>
        <w:t>I</w:t>
      </w:r>
      <w:r w:rsidR="00911D1F">
        <w:rPr>
          <w:b/>
        </w:rPr>
        <w:t xml:space="preserve">nfectious </w:t>
      </w:r>
      <w:r w:rsidR="00CB7E8C">
        <w:rPr>
          <w:b/>
        </w:rPr>
        <w:t>D</w:t>
      </w:r>
      <w:r w:rsidR="00911D1F">
        <w:rPr>
          <w:b/>
        </w:rPr>
        <w:t>iseases</w:t>
      </w:r>
    </w:p>
    <w:p w14:paraId="4A009699" w14:textId="06FAE528" w:rsidR="00911D1F" w:rsidRPr="00911D1F" w:rsidRDefault="00B501C1">
      <w:pPr>
        <w:rPr>
          <w:lang w:val="en-US"/>
        </w:rPr>
      </w:pPr>
      <w:r>
        <w:rPr>
          <w:lang w:val="en-US"/>
        </w:rPr>
        <w:t>This</w:t>
      </w:r>
      <w:r w:rsidR="00911D1F">
        <w:rPr>
          <w:lang w:val="en-US"/>
        </w:rPr>
        <w:t xml:space="preserve"> </w:t>
      </w:r>
      <w:hyperlink r:id="rId19" w:history="1">
        <w:r w:rsidR="00911D1F" w:rsidRPr="006B0B69">
          <w:rPr>
            <w:rStyle w:val="Hyperlink"/>
            <w:b/>
            <w:u w:val="single"/>
            <w:lang w:val="en-US"/>
          </w:rPr>
          <w:t>report</w:t>
        </w:r>
      </w:hyperlink>
      <w:r w:rsidR="00911D1F">
        <w:rPr>
          <w:lang w:val="en-US"/>
        </w:rPr>
        <w:t xml:space="preserve"> (</w:t>
      </w:r>
      <w:r w:rsidR="00911D1F">
        <w:rPr>
          <w:b/>
          <w:lang w:val="en-US"/>
        </w:rPr>
        <w:t>March 2013</w:t>
      </w:r>
      <w:r w:rsidR="00911D1F">
        <w:rPr>
          <w:lang w:val="en-US"/>
        </w:rPr>
        <w:t xml:space="preserve">) from the Chief Medical Officer encourages development of new antibiotics and highlights that looking after the current supply of antibiotics is equally important. </w:t>
      </w:r>
      <w:r w:rsidR="00911D1F" w:rsidRPr="00911D1F">
        <w:rPr>
          <w:lang w:val="en-US"/>
        </w:rPr>
        <w:t>This means using better hygiene measures to prevent infections, prescribing fewer antibiotics and making sure they are only prescribed when needed</w:t>
      </w:r>
    </w:p>
    <w:p w14:paraId="099BCF92" w14:textId="77777777" w:rsidR="009E09E2" w:rsidRPr="006A46BC" w:rsidRDefault="009E09E2" w:rsidP="009E09E2">
      <w:pPr>
        <w:spacing w:after="240"/>
        <w:rPr>
          <w:b/>
          <w:color w:val="000000"/>
          <w:sz w:val="18"/>
          <w:szCs w:val="24"/>
        </w:rPr>
      </w:pPr>
    </w:p>
    <w:p w14:paraId="3976D4C7" w14:textId="77777777" w:rsidR="009E09E2" w:rsidRDefault="009E09E2" w:rsidP="009E09E2">
      <w:pPr>
        <w:rPr>
          <w:szCs w:val="24"/>
          <w:lang w:val="en"/>
        </w:rPr>
      </w:pPr>
      <w:r w:rsidRPr="00DE07C9">
        <w:rPr>
          <w:noProof/>
          <w:szCs w:val="24"/>
          <w:lang w:val="en-US"/>
        </w:rPr>
        <mc:AlternateContent>
          <mc:Choice Requires="wps">
            <w:drawing>
              <wp:anchor distT="0" distB="0" distL="114300" distR="114300" simplePos="0" relativeHeight="251663360" behindDoc="0" locked="0" layoutInCell="1" allowOverlap="1" wp14:anchorId="684D8952" wp14:editId="019A02C8">
                <wp:simplePos x="0" y="0"/>
                <wp:positionH relativeFrom="column">
                  <wp:align>center</wp:align>
                </wp:positionH>
                <wp:positionV relativeFrom="paragraph">
                  <wp:posOffset>0</wp:posOffset>
                </wp:positionV>
                <wp:extent cx="7824470" cy="370800"/>
                <wp:effectExtent l="0" t="0" r="508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4470" cy="370800"/>
                        </a:xfrm>
                        <a:prstGeom prst="rect">
                          <a:avLst/>
                        </a:prstGeom>
                        <a:solidFill>
                          <a:srgbClr val="980029"/>
                        </a:solidFill>
                        <a:ln w="9525">
                          <a:noFill/>
                          <a:miter lim="800000"/>
                          <a:headEnd/>
                          <a:tailEnd/>
                        </a:ln>
                      </wps:spPr>
                      <wps:txbx>
                        <w:txbxContent>
                          <w:p w14:paraId="113CA4C0" w14:textId="77777777" w:rsidR="009E09E2" w:rsidRPr="00DE07C9" w:rsidRDefault="009E09E2" w:rsidP="009E09E2">
                            <w:pPr>
                              <w:ind w:left="720"/>
                              <w:rPr>
                                <w:b/>
                                <w:color w:val="FFFFFF" w:themeColor="background1"/>
                                <w:sz w:val="32"/>
                                <w:szCs w:val="32"/>
                              </w:rPr>
                            </w:pPr>
                            <w:r>
                              <w:rPr>
                                <w:b/>
                                <w:color w:val="FFFFFF" w:themeColor="background1"/>
                                <w:sz w:val="32"/>
                                <w:szCs w:val="32"/>
                              </w:rPr>
                              <w:t xml:space="preserve">   Data, guidance, infographics and toolkits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4D8952" id="_x0000_s1027" type="#_x0000_t202" style="position:absolute;margin-left:0;margin-top:0;width:616.1pt;height:29.2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" fillcolor="#980029" stroked="f">
                <v:textbox>
                  <w:txbxContent>
                    <w:p w14:paraId="113CA4C0" w14:textId="77777777" w:rsidR="009E09E2" w:rsidRPr="00DE07C9" w:rsidRDefault="009E09E2" w:rsidP="009E09E2">
                      <w:pPr>
                        <w:ind w:left="720"/>
                        <w:rPr>
                          <w:b/>
                          <w:color w:val="FFFFFF" w:themeColor="background1"/>
                          <w:sz w:val="32"/>
                          <w:szCs w:val="32"/>
                        </w:rPr>
                      </w:pPr>
                      <w:r>
                        <w:rPr>
                          <w:b/>
                          <w:color w:val="FFFFFF" w:themeColor="background1"/>
                          <w:sz w:val="32"/>
                          <w:szCs w:val="32"/>
                        </w:rPr>
                        <w:t xml:space="preserve">   Data, guidance, infographics and toolkits</w:t>
                      </w:r>
                    </w:p>
                  </w:txbxContent>
                </v:textbox>
              </v:shape>
            </w:pict>
          </mc:Fallback>
        </mc:AlternateContent>
      </w:r>
    </w:p>
    <w:p w14:paraId="1ECDADBD" w14:textId="77777777" w:rsidR="009E09E2" w:rsidRDefault="009E09E2" w:rsidP="009E09E2">
      <w:pPr>
        <w:rPr>
          <w:szCs w:val="24"/>
          <w:lang w:val="en"/>
        </w:rPr>
      </w:pPr>
    </w:p>
    <w:p w14:paraId="538EDE29" w14:textId="77777777" w:rsidR="009E09E2" w:rsidRDefault="009E09E2"/>
    <w:p w14:paraId="2AEDB512" w14:textId="77777777" w:rsidR="00912832" w:rsidRDefault="00912832">
      <w:pPr>
        <w:rPr>
          <w:b/>
        </w:rPr>
      </w:pPr>
      <w:r>
        <w:rPr>
          <w:b/>
        </w:rPr>
        <w:t>AMR Fingertips Profile</w:t>
      </w:r>
    </w:p>
    <w:p w14:paraId="07CFAA6E" w14:textId="15694052" w:rsidR="00865CF5" w:rsidRPr="00865CF5" w:rsidRDefault="00E10346">
      <w:r>
        <w:t>This</w:t>
      </w:r>
      <w:r w:rsidR="00440FFB">
        <w:t xml:space="preserve"> PHE</w:t>
      </w:r>
      <w:r>
        <w:t xml:space="preserve"> </w:t>
      </w:r>
      <w:hyperlink r:id="rId20" w:anchor="page/0/gid/1938133070/pat/46/par/E39000026/ati/154/are/E38000056" w:history="1">
        <w:r w:rsidRPr="006B0B69">
          <w:rPr>
            <w:rStyle w:val="Hyperlink"/>
            <w:b/>
            <w:u w:val="single"/>
          </w:rPr>
          <w:t>tool</w:t>
        </w:r>
      </w:hyperlink>
      <w:r w:rsidR="009F6223">
        <w:t xml:space="preserve"> provides indicators</w:t>
      </w:r>
      <w:r w:rsidR="00E85E72">
        <w:t xml:space="preserve"> ar</w:t>
      </w:r>
      <w:r w:rsidR="00912832">
        <w:t xml:space="preserve">ranged in 6 data domains: </w:t>
      </w:r>
      <w:r w:rsidR="006367DF">
        <w:t xml:space="preserve">1) </w:t>
      </w:r>
      <w:r w:rsidR="00912832">
        <w:t>Supporting NHS England Initiatives,</w:t>
      </w:r>
      <w:r w:rsidR="006367DF">
        <w:t xml:space="preserve"> 2)</w:t>
      </w:r>
      <w:r w:rsidR="00912832">
        <w:t xml:space="preserve"> AMR,</w:t>
      </w:r>
      <w:r w:rsidR="006367DF">
        <w:t xml:space="preserve"> 3)</w:t>
      </w:r>
      <w:r w:rsidR="00912832">
        <w:t xml:space="preserve"> </w:t>
      </w:r>
      <w:r w:rsidR="00C23C9B">
        <w:t>A</w:t>
      </w:r>
      <w:r w:rsidR="002174DE">
        <w:t>ntibiotic</w:t>
      </w:r>
      <w:r w:rsidR="00912832">
        <w:t xml:space="preserve"> prescribing, </w:t>
      </w:r>
      <w:r w:rsidR="006367DF">
        <w:t xml:space="preserve">4) </w:t>
      </w:r>
      <w:r w:rsidR="00C23C9B">
        <w:t>Healthcare-associated infection</w:t>
      </w:r>
      <w:r w:rsidR="00912832">
        <w:t xml:space="preserve">, </w:t>
      </w:r>
      <w:r w:rsidR="006367DF">
        <w:t xml:space="preserve">5) </w:t>
      </w:r>
      <w:r w:rsidR="00C23C9B">
        <w:t>I</w:t>
      </w:r>
      <w:r w:rsidR="00E91894">
        <w:t>nfection prevention and control</w:t>
      </w:r>
      <w:r w:rsidR="00C23C9B">
        <w:t>,</w:t>
      </w:r>
      <w:r w:rsidR="00E91894">
        <w:t xml:space="preserve"> </w:t>
      </w:r>
      <w:r w:rsidR="00912832">
        <w:t>and</w:t>
      </w:r>
      <w:r w:rsidR="006367DF">
        <w:t xml:space="preserve"> 6)</w:t>
      </w:r>
      <w:r w:rsidR="00912832">
        <w:t xml:space="preserve"> </w:t>
      </w:r>
      <w:r w:rsidR="00C23C9B">
        <w:t>A</w:t>
      </w:r>
      <w:r w:rsidR="00912832">
        <w:t>ntimicrobial stewardship.</w:t>
      </w:r>
    </w:p>
    <w:p w14:paraId="44C9E3E0" w14:textId="77777777" w:rsidR="00865CF5" w:rsidRDefault="00865CF5">
      <w:pPr>
        <w:rPr>
          <w:b/>
        </w:rPr>
      </w:pPr>
    </w:p>
    <w:p w14:paraId="6FC509CA" w14:textId="77777777" w:rsidR="00443596" w:rsidRDefault="00443596" w:rsidP="00443596">
      <w:pPr>
        <w:rPr>
          <w:b/>
        </w:rPr>
      </w:pPr>
      <w:r>
        <w:rPr>
          <w:b/>
        </w:rPr>
        <w:t>Treat Antibiotics Responsibly, Guidance, Education, Tools (TARGET)</w:t>
      </w:r>
    </w:p>
    <w:p w14:paraId="274E660C" w14:textId="705B82AA" w:rsidR="00443596" w:rsidRPr="00443596" w:rsidRDefault="00443596">
      <w:r w:rsidRPr="007F7815">
        <w:t xml:space="preserve">This </w:t>
      </w:r>
      <w:hyperlink r:id="rId21" w:history="1">
        <w:r w:rsidRPr="005A7C8B">
          <w:rPr>
            <w:rStyle w:val="Hyperlink"/>
          </w:rPr>
          <w:t>toolkit</w:t>
        </w:r>
      </w:hyperlink>
      <w:r>
        <w:t xml:space="preserve"> (</w:t>
      </w:r>
      <w:r>
        <w:rPr>
          <w:b/>
        </w:rPr>
        <w:t>updated July 2019</w:t>
      </w:r>
      <w:r>
        <w:t xml:space="preserve">) helps influence prescribers’ and patients’ personal attitudes, social norms and perceived barriers to optimal antibiotic prescribing. </w:t>
      </w:r>
      <w:r w:rsidR="00A63EEE">
        <w:t>It is for use by the whole primary care team within the GP practice or out of hours setting, and includes patient leaflets, resources for clinical and waiting areas,</w:t>
      </w:r>
      <w:r w:rsidR="00372934">
        <w:t xml:space="preserve"> audit toolkits and resources for commissioning and training.</w:t>
      </w:r>
    </w:p>
    <w:p w14:paraId="05AD98A1" w14:textId="77777777" w:rsidR="00443596" w:rsidRDefault="00443596">
      <w:pPr>
        <w:rPr>
          <w:b/>
        </w:rPr>
      </w:pPr>
    </w:p>
    <w:p w14:paraId="3B749F8D" w14:textId="660B2B52" w:rsidR="002610C9" w:rsidRPr="006B0B69" w:rsidRDefault="002610C9">
      <w:pPr>
        <w:rPr>
          <w:b/>
        </w:rPr>
      </w:pPr>
      <w:r w:rsidRPr="006B0B69">
        <w:rPr>
          <w:b/>
        </w:rPr>
        <w:t xml:space="preserve">Dental </w:t>
      </w:r>
      <w:r w:rsidR="00B85121" w:rsidRPr="006B0B69">
        <w:rPr>
          <w:b/>
        </w:rPr>
        <w:t>A</w:t>
      </w:r>
      <w:r w:rsidRPr="006B0B69">
        <w:rPr>
          <w:b/>
        </w:rPr>
        <w:t>ntimicro</w:t>
      </w:r>
      <w:r w:rsidR="00A01498" w:rsidRPr="006B0B69">
        <w:rPr>
          <w:b/>
        </w:rPr>
        <w:t xml:space="preserve">bial </w:t>
      </w:r>
      <w:r w:rsidR="00B85121" w:rsidRPr="006B0B69">
        <w:rPr>
          <w:b/>
        </w:rPr>
        <w:t>S</w:t>
      </w:r>
      <w:r w:rsidR="00A01498" w:rsidRPr="006B0B69">
        <w:rPr>
          <w:b/>
        </w:rPr>
        <w:t>tewardship</w:t>
      </w:r>
    </w:p>
    <w:p w14:paraId="41F35797" w14:textId="559ED232" w:rsidR="002F057D" w:rsidRPr="003E6D84" w:rsidRDefault="002F057D">
      <w:pPr>
        <w:rPr>
          <w:lang w:val="en-US"/>
        </w:rPr>
      </w:pPr>
      <w:r>
        <w:t>This</w:t>
      </w:r>
      <w:r w:rsidR="00707A70">
        <w:t xml:space="preserve"> PHE</w:t>
      </w:r>
      <w:r w:rsidR="003E6D84">
        <w:t xml:space="preserve"> </w:t>
      </w:r>
      <w:hyperlink r:id="rId22" w:history="1">
        <w:r w:rsidRPr="006B0B69">
          <w:rPr>
            <w:rStyle w:val="Hyperlink"/>
            <w:b/>
            <w:u w:val="single"/>
          </w:rPr>
          <w:t>toolkit</w:t>
        </w:r>
      </w:hyperlink>
      <w:r>
        <w:t xml:space="preserve"> (</w:t>
      </w:r>
      <w:r w:rsidRPr="00A01498">
        <w:rPr>
          <w:b/>
        </w:rPr>
        <w:t>updated</w:t>
      </w:r>
      <w:r>
        <w:t xml:space="preserve"> </w:t>
      </w:r>
      <w:r>
        <w:rPr>
          <w:b/>
        </w:rPr>
        <w:t>July 2019</w:t>
      </w:r>
      <w:r>
        <w:t xml:space="preserve">) </w:t>
      </w:r>
      <w:r w:rsidR="003E6D84">
        <w:t xml:space="preserve">was developed in collaboration with the </w:t>
      </w:r>
      <w:r w:rsidR="003E6D84" w:rsidRPr="003E6D84">
        <w:rPr>
          <w:lang w:val="en-US"/>
        </w:rPr>
        <w:t xml:space="preserve">Dental Subgroup of </w:t>
      </w:r>
      <w:r w:rsidR="003E6D84">
        <w:rPr>
          <w:lang w:val="en-US"/>
        </w:rPr>
        <w:t xml:space="preserve">PHE’s </w:t>
      </w:r>
      <w:r w:rsidR="003E6D84" w:rsidRPr="003E6D84">
        <w:rPr>
          <w:lang w:val="en-US"/>
        </w:rPr>
        <w:t xml:space="preserve">English </w:t>
      </w:r>
      <w:r w:rsidR="003E6D84">
        <w:rPr>
          <w:lang w:val="en-US"/>
        </w:rPr>
        <w:t>S</w:t>
      </w:r>
      <w:r w:rsidR="003E6D84" w:rsidRPr="003E6D84">
        <w:rPr>
          <w:lang w:val="en-US"/>
        </w:rPr>
        <w:t xml:space="preserve">urveillance </w:t>
      </w:r>
      <w:r w:rsidR="003E6D84">
        <w:rPr>
          <w:lang w:val="en-US"/>
        </w:rPr>
        <w:t>P</w:t>
      </w:r>
      <w:r w:rsidR="003E6D84" w:rsidRPr="003E6D84">
        <w:rPr>
          <w:lang w:val="en-US"/>
        </w:rPr>
        <w:t xml:space="preserve">rogramme for </w:t>
      </w:r>
      <w:r w:rsidR="003E6D84">
        <w:rPr>
          <w:lang w:val="en-US"/>
        </w:rPr>
        <w:t>A</w:t>
      </w:r>
      <w:r w:rsidR="003E6D84" w:rsidRPr="003E6D84">
        <w:rPr>
          <w:lang w:val="en-US"/>
        </w:rPr>
        <w:t xml:space="preserve">ntimicrobial </w:t>
      </w:r>
      <w:proofErr w:type="spellStart"/>
      <w:r w:rsidR="003E6D84">
        <w:rPr>
          <w:lang w:val="en-US"/>
        </w:rPr>
        <w:t>U</w:t>
      </w:r>
      <w:r w:rsidR="003E6D84" w:rsidRPr="003E6D84">
        <w:rPr>
          <w:lang w:val="en-US"/>
        </w:rPr>
        <w:t>tilisation</w:t>
      </w:r>
      <w:proofErr w:type="spellEnd"/>
      <w:r w:rsidR="003E6D84" w:rsidRPr="003E6D84">
        <w:rPr>
          <w:lang w:val="en-US"/>
        </w:rPr>
        <w:t xml:space="preserve"> and </w:t>
      </w:r>
      <w:r w:rsidR="003E6D84">
        <w:rPr>
          <w:lang w:val="en-US"/>
        </w:rPr>
        <w:t>R</w:t>
      </w:r>
      <w:r w:rsidR="003E6D84" w:rsidRPr="003E6D84">
        <w:rPr>
          <w:lang w:val="en-US"/>
        </w:rPr>
        <w:t xml:space="preserve">esistance, </w:t>
      </w:r>
      <w:r w:rsidR="003E6D84">
        <w:rPr>
          <w:lang w:val="en-US"/>
        </w:rPr>
        <w:t xml:space="preserve">the </w:t>
      </w:r>
      <w:r w:rsidR="003E6D84" w:rsidRPr="003E6D84">
        <w:rPr>
          <w:lang w:val="en-US"/>
        </w:rPr>
        <w:t>Fac</w:t>
      </w:r>
      <w:r w:rsidR="003E6D84">
        <w:rPr>
          <w:lang w:val="en-US"/>
        </w:rPr>
        <w:t>ulty of General Dental Practice</w:t>
      </w:r>
      <w:r w:rsidR="003E6D84" w:rsidRPr="003E6D84">
        <w:rPr>
          <w:lang w:val="en-US"/>
        </w:rPr>
        <w:t xml:space="preserve"> </w:t>
      </w:r>
      <w:r w:rsidR="003E6D84">
        <w:rPr>
          <w:lang w:val="en-US"/>
        </w:rPr>
        <w:t>and the British Dental Association</w:t>
      </w:r>
      <w:r w:rsidR="003E6D84" w:rsidRPr="003E6D84">
        <w:rPr>
          <w:lang w:val="en-US"/>
        </w:rPr>
        <w:t>.</w:t>
      </w:r>
      <w:r w:rsidR="003E6D84">
        <w:rPr>
          <w:lang w:val="en-US"/>
        </w:rPr>
        <w:t xml:space="preserve"> </w:t>
      </w:r>
      <w:r w:rsidR="003E6D84">
        <w:t xml:space="preserve">It </w:t>
      </w:r>
      <w:r>
        <w:t>provides resources to help primary care practitioners promote appropriate use of antibiotics in dental care. It includes information leaflets for patients, guidance for dentists</w:t>
      </w:r>
      <w:r w:rsidR="00DB304E">
        <w:t xml:space="preserve"> and </w:t>
      </w:r>
      <w:r>
        <w:t>education</w:t>
      </w:r>
      <w:r w:rsidR="00DB304E">
        <w:t xml:space="preserve">, </w:t>
      </w:r>
      <w:r>
        <w:t>training and audit tools for dental teams.</w:t>
      </w:r>
    </w:p>
    <w:p w14:paraId="697DCA6A" w14:textId="77777777" w:rsidR="00D367DD" w:rsidRDefault="00D367DD"/>
    <w:p w14:paraId="09845324" w14:textId="75989CF3" w:rsidR="008A51C8" w:rsidRDefault="008A51C8" w:rsidP="008A51C8">
      <w:pPr>
        <w:rPr>
          <w:b/>
        </w:rPr>
      </w:pPr>
      <w:r>
        <w:rPr>
          <w:b/>
        </w:rPr>
        <w:t xml:space="preserve">Health </w:t>
      </w:r>
      <w:r w:rsidR="00CB7E8C">
        <w:rPr>
          <w:b/>
        </w:rPr>
        <w:t>M</w:t>
      </w:r>
      <w:r>
        <w:rPr>
          <w:b/>
        </w:rPr>
        <w:t>atters</w:t>
      </w:r>
    </w:p>
    <w:p w14:paraId="148B254E" w14:textId="5057AEED" w:rsidR="008A51C8" w:rsidRPr="008A51C8" w:rsidRDefault="008A51C8">
      <w:pPr>
        <w:rPr>
          <w:lang w:val="en-US"/>
        </w:rPr>
      </w:pPr>
      <w:r>
        <w:t xml:space="preserve">The PHE </w:t>
      </w:r>
      <w:hyperlink r:id="rId23" w:history="1">
        <w:r w:rsidR="006B0B69">
          <w:rPr>
            <w:rStyle w:val="Hyperlink"/>
            <w:b/>
            <w:u w:val="single"/>
          </w:rPr>
          <w:t>Health Matters collection</w:t>
        </w:r>
      </w:hyperlink>
      <w:r w:rsidR="00A4667C">
        <w:t xml:space="preserve"> (</w:t>
      </w:r>
      <w:r>
        <w:rPr>
          <w:b/>
        </w:rPr>
        <w:t>updated July 2019</w:t>
      </w:r>
      <w:r w:rsidRPr="00A4667C">
        <w:t xml:space="preserve">) </w:t>
      </w:r>
      <w:r>
        <w:t xml:space="preserve">is a collection of information and resources for </w:t>
      </w:r>
      <w:r w:rsidRPr="000A1493">
        <w:rPr>
          <w:lang w:val="en-US"/>
        </w:rPr>
        <w:t>public health professionals, local authorities and CCG commissioners</w:t>
      </w:r>
      <w:r>
        <w:rPr>
          <w:lang w:val="en-US"/>
        </w:rPr>
        <w:t xml:space="preserve">. Since the publication of this collection PHE has published </w:t>
      </w:r>
      <w:r w:rsidR="004D08C9">
        <w:rPr>
          <w:lang w:val="en-US"/>
        </w:rPr>
        <w:t>specific</w:t>
      </w:r>
      <w:r>
        <w:rPr>
          <w:lang w:val="en-US"/>
        </w:rPr>
        <w:t xml:space="preserve"> guidance around </w:t>
      </w:r>
      <w:hyperlink r:id="rId24" w:history="1">
        <w:r w:rsidRPr="006B0B69">
          <w:rPr>
            <w:rStyle w:val="Hyperlink"/>
            <w:b/>
            <w:u w:val="single"/>
            <w:lang w:val="en-US"/>
          </w:rPr>
          <w:t>AMR</w:t>
        </w:r>
      </w:hyperlink>
      <w:r>
        <w:rPr>
          <w:lang w:val="en-US"/>
        </w:rPr>
        <w:t xml:space="preserve"> and </w:t>
      </w:r>
      <w:hyperlink r:id="rId25" w:history="1">
        <w:r w:rsidRPr="006B0B69">
          <w:rPr>
            <w:rStyle w:val="Hyperlink"/>
            <w:b/>
            <w:u w:val="single"/>
            <w:lang w:val="en-US"/>
          </w:rPr>
          <w:t>preventing infection and reducing AMR</w:t>
        </w:r>
      </w:hyperlink>
      <w:r w:rsidRPr="006B0B69">
        <w:rPr>
          <w:b/>
          <w:u w:val="single"/>
          <w:lang w:val="en-US"/>
        </w:rPr>
        <w:t xml:space="preserve">. </w:t>
      </w:r>
      <w:r>
        <w:rPr>
          <w:lang w:val="en-US"/>
        </w:rPr>
        <w:t xml:space="preserve">The guidance </w:t>
      </w:r>
      <w:r w:rsidR="004D08C9">
        <w:t xml:space="preserve">sets out effective methods to avoid unnecessary prescribing of antibiotics and </w:t>
      </w:r>
      <w:r>
        <w:t xml:space="preserve">outlines the importance of infection prevention and control and how it can contribute to reducing AMR. </w:t>
      </w:r>
    </w:p>
    <w:p w14:paraId="3922DCFB" w14:textId="77777777" w:rsidR="008A51C8" w:rsidRDefault="008A51C8"/>
    <w:p w14:paraId="63B8D840" w14:textId="0AD04593" w:rsidR="008F56C7" w:rsidRDefault="00324084" w:rsidP="00A01498">
      <w:pPr>
        <w:rPr>
          <w:b/>
        </w:rPr>
      </w:pPr>
      <w:r>
        <w:rPr>
          <w:b/>
        </w:rPr>
        <w:t>All Our Health</w:t>
      </w:r>
    </w:p>
    <w:p w14:paraId="2757A37C" w14:textId="765F016D" w:rsidR="0016276C" w:rsidRPr="00264B9C" w:rsidRDefault="00264B9C" w:rsidP="00A01498">
      <w:r>
        <w:t>The PHE</w:t>
      </w:r>
      <w:r w:rsidRPr="006B0B69">
        <w:rPr>
          <w:b/>
          <w:u w:val="single"/>
        </w:rPr>
        <w:t xml:space="preserve"> </w:t>
      </w:r>
      <w:hyperlink r:id="rId26" w:history="1">
        <w:r w:rsidRPr="006B0B69">
          <w:rPr>
            <w:rStyle w:val="Hyperlink"/>
            <w:b/>
            <w:u w:val="single"/>
          </w:rPr>
          <w:t>All Our Health framework</w:t>
        </w:r>
      </w:hyperlink>
      <w:r>
        <w:t xml:space="preserve"> </w:t>
      </w:r>
      <w:r w:rsidR="00324084" w:rsidRPr="008F56C7">
        <w:t>(</w:t>
      </w:r>
      <w:r w:rsidR="00324084">
        <w:rPr>
          <w:b/>
        </w:rPr>
        <w:t>updated June 2019</w:t>
      </w:r>
      <w:r w:rsidR="00324084" w:rsidRPr="008F56C7">
        <w:t>)</w:t>
      </w:r>
      <w:r w:rsidR="00324084">
        <w:t xml:space="preserve"> </w:t>
      </w:r>
      <w:r>
        <w:t xml:space="preserve">is a framework of evidence to help healthcare professionals in England understand and maximise the impact on improving health outcomes and reducing health inequalities. Since the publication of this framework PHE has </w:t>
      </w:r>
      <w:r>
        <w:lastRenderedPageBreak/>
        <w:t xml:space="preserve">published a resource </w:t>
      </w:r>
      <w:hyperlink r:id="rId27" w:history="1">
        <w:r w:rsidRPr="006B0B69">
          <w:rPr>
            <w:rStyle w:val="Hyperlink"/>
            <w:b/>
            <w:u w:val="single"/>
          </w:rPr>
          <w:t>about the framework</w:t>
        </w:r>
      </w:hyperlink>
      <w:r>
        <w:t xml:space="preserve"> and another piece of guidance around applying ‘All Our Health’ in relation to </w:t>
      </w:r>
      <w:hyperlink r:id="rId28" w:history="1">
        <w:r w:rsidRPr="006B0B69">
          <w:rPr>
            <w:rStyle w:val="Hyperlink"/>
            <w:b/>
            <w:u w:val="single"/>
          </w:rPr>
          <w:t>AMR</w:t>
        </w:r>
      </w:hyperlink>
      <w:r>
        <w:t>. The guidance provides examples to enable healthcare professionals to promote antimicrobial stewardship and good infection control practices.</w:t>
      </w:r>
    </w:p>
    <w:p w14:paraId="7232464B" w14:textId="54B1FE25" w:rsidR="00E9247A" w:rsidRDefault="00E9247A" w:rsidP="00A01498">
      <w:pPr>
        <w:rPr>
          <w:b/>
        </w:rPr>
      </w:pPr>
    </w:p>
    <w:p w14:paraId="5F0BDB54" w14:textId="00D5F06F" w:rsidR="002226B6" w:rsidRPr="006B0B69" w:rsidRDefault="00760D1A" w:rsidP="00A01498">
      <w:pPr>
        <w:rPr>
          <w:b/>
          <w:u w:color="0432FF"/>
        </w:rPr>
      </w:pPr>
      <w:r w:rsidRPr="006B0B69">
        <w:rPr>
          <w:b/>
          <w:u w:color="0432FF"/>
        </w:rPr>
        <w:t>Practical Guide to Antimicrobial Stewardship in Hospitals</w:t>
      </w:r>
    </w:p>
    <w:p w14:paraId="1F86BA0D" w14:textId="7EE1304C" w:rsidR="00C93E88" w:rsidRPr="00C93E88" w:rsidRDefault="00815E3A" w:rsidP="00C93E88">
      <w:pPr>
        <w:rPr>
          <w:b/>
          <w:lang w:val="en-US"/>
        </w:rPr>
      </w:pPr>
      <w:r>
        <w:t xml:space="preserve">This </w:t>
      </w:r>
      <w:hyperlink r:id="rId29" w:history="1">
        <w:r w:rsidR="004E748D" w:rsidRPr="006B0B69">
          <w:rPr>
            <w:rStyle w:val="Hyperlink"/>
            <w:b/>
            <w:u w:val="single"/>
          </w:rPr>
          <w:t>booklet</w:t>
        </w:r>
      </w:hyperlink>
      <w:r>
        <w:t xml:space="preserve"> </w:t>
      </w:r>
      <w:r w:rsidR="00E43519">
        <w:t>(</w:t>
      </w:r>
      <w:r w:rsidR="00E43519">
        <w:rPr>
          <w:b/>
        </w:rPr>
        <w:t>April 2019</w:t>
      </w:r>
      <w:r w:rsidR="00E43519">
        <w:t>)</w:t>
      </w:r>
      <w:r w:rsidR="00C93E88">
        <w:t xml:space="preserve">, produced by the </w:t>
      </w:r>
      <w:r w:rsidR="006C15DF">
        <w:t xml:space="preserve">biotechnology company </w:t>
      </w:r>
      <w:proofErr w:type="spellStart"/>
      <w:r w:rsidR="006C15DF" w:rsidRPr="006C15DF">
        <w:rPr>
          <w:rStyle w:val="Emphasis"/>
          <w:bCs/>
          <w:i w:val="0"/>
          <w:iCs w:val="0"/>
          <w:shd w:val="clear" w:color="auto" w:fill="FFFFFF"/>
        </w:rPr>
        <w:t>bioMérieux</w:t>
      </w:r>
      <w:proofErr w:type="spellEnd"/>
      <w:r w:rsidR="00C93E88">
        <w:rPr>
          <w:rStyle w:val="Emphasis"/>
          <w:bCs/>
          <w:i w:val="0"/>
          <w:iCs w:val="0"/>
          <w:shd w:val="clear" w:color="auto" w:fill="FFFFFF"/>
        </w:rPr>
        <w:t xml:space="preserve">, provides </w:t>
      </w:r>
      <w:r w:rsidR="00795035">
        <w:rPr>
          <w:rStyle w:val="Emphasis"/>
          <w:bCs/>
          <w:i w:val="0"/>
          <w:iCs w:val="0"/>
          <w:shd w:val="clear" w:color="auto" w:fill="FFFFFF"/>
        </w:rPr>
        <w:t xml:space="preserve">high-level </w:t>
      </w:r>
      <w:r w:rsidR="00C93E88">
        <w:rPr>
          <w:rStyle w:val="Emphasis"/>
          <w:bCs/>
          <w:i w:val="0"/>
          <w:iCs w:val="0"/>
          <w:shd w:val="clear" w:color="auto" w:fill="FFFFFF"/>
        </w:rPr>
        <w:t xml:space="preserve">practical recommendations for healthcare workers in hospitals to improve the quality of antibiotic prescribing and thereby improve patient clinical outcomes. Recommendations have been adapted from </w:t>
      </w:r>
      <w:r w:rsidR="00C93E88" w:rsidRPr="00C93E88">
        <w:rPr>
          <w:lang w:val="en-US"/>
        </w:rPr>
        <w:t>the National Stewardship Guid</w:t>
      </w:r>
      <w:r w:rsidR="00C93E88">
        <w:rPr>
          <w:lang w:val="en-US"/>
        </w:rPr>
        <w:t xml:space="preserve">ance from Australia, </w:t>
      </w:r>
      <w:r w:rsidR="00795035">
        <w:rPr>
          <w:lang w:val="en-US"/>
        </w:rPr>
        <w:t xml:space="preserve">the </w:t>
      </w:r>
      <w:r w:rsidR="00C93E88">
        <w:rPr>
          <w:lang w:val="en-US"/>
        </w:rPr>
        <w:t xml:space="preserve">UK (including the Start </w:t>
      </w:r>
      <w:r w:rsidR="00DA467E">
        <w:rPr>
          <w:lang w:val="en-US"/>
        </w:rPr>
        <w:t xml:space="preserve">Smart </w:t>
      </w:r>
      <w:proofErr w:type="gramStart"/>
      <w:r w:rsidR="00DA467E">
        <w:rPr>
          <w:lang w:val="en-US"/>
        </w:rPr>
        <w:t>then</w:t>
      </w:r>
      <w:proofErr w:type="gramEnd"/>
      <w:r w:rsidR="00DA467E">
        <w:rPr>
          <w:lang w:val="en-US"/>
        </w:rPr>
        <w:t xml:space="preserve"> Focus toolkit below)</w:t>
      </w:r>
      <w:r w:rsidR="00C93E88">
        <w:rPr>
          <w:lang w:val="en-US"/>
        </w:rPr>
        <w:t>, USA and other countries</w:t>
      </w:r>
    </w:p>
    <w:p w14:paraId="523E338F" w14:textId="77777777" w:rsidR="00C93E88" w:rsidRDefault="00C93E88" w:rsidP="00A01498">
      <w:pPr>
        <w:rPr>
          <w:b/>
        </w:rPr>
      </w:pPr>
    </w:p>
    <w:p w14:paraId="4B90B11B" w14:textId="003A5CD2" w:rsidR="00A01498" w:rsidRDefault="008541D9" w:rsidP="00A01498">
      <w:pPr>
        <w:rPr>
          <w:b/>
        </w:rPr>
      </w:pPr>
      <w:r>
        <w:rPr>
          <w:b/>
        </w:rPr>
        <w:t>AMR</w:t>
      </w:r>
      <w:r w:rsidR="00A01498">
        <w:rPr>
          <w:b/>
        </w:rPr>
        <w:t xml:space="preserve"> </w:t>
      </w:r>
      <w:r w:rsidR="00CB7E8C">
        <w:rPr>
          <w:b/>
        </w:rPr>
        <w:t>R</w:t>
      </w:r>
      <w:r w:rsidR="00A01498">
        <w:rPr>
          <w:b/>
        </w:rPr>
        <w:t xml:space="preserve">esource </w:t>
      </w:r>
      <w:r w:rsidR="00CB7E8C">
        <w:rPr>
          <w:b/>
        </w:rPr>
        <w:t>H</w:t>
      </w:r>
      <w:r w:rsidR="00A01498">
        <w:rPr>
          <w:b/>
        </w:rPr>
        <w:t>andbook</w:t>
      </w:r>
    </w:p>
    <w:p w14:paraId="3BCEF8E4" w14:textId="5E9358FF" w:rsidR="005C0B9D" w:rsidRDefault="00A01498" w:rsidP="00A01498">
      <w:r>
        <w:t xml:space="preserve">This </w:t>
      </w:r>
      <w:r w:rsidR="00440FFB">
        <w:t xml:space="preserve">PHE </w:t>
      </w:r>
      <w:hyperlink r:id="rId30" w:history="1">
        <w:r w:rsidRPr="006B0B69">
          <w:rPr>
            <w:rStyle w:val="Hyperlink"/>
            <w:b/>
            <w:u w:val="single"/>
          </w:rPr>
          <w:t>handbook</w:t>
        </w:r>
      </w:hyperlink>
      <w:r>
        <w:t xml:space="preserve"> (</w:t>
      </w:r>
      <w:r>
        <w:rPr>
          <w:b/>
        </w:rPr>
        <w:t>updated April 2017</w:t>
      </w:r>
      <w:r>
        <w:t xml:space="preserve">) collates national </w:t>
      </w:r>
      <w:r w:rsidR="005C0B9D">
        <w:t>policy, guidance and supporting materials covering prevention and control of healthcare-associated infections and antimicrobial stewardship in order to aid in the reduction of AMR. It is designed to assist local health and social care profess</w:t>
      </w:r>
      <w:r w:rsidR="006A4202">
        <w:t>ionals in quickly retrieving re</w:t>
      </w:r>
      <w:r w:rsidR="005C0B9D">
        <w:t xml:space="preserve">levant information provided by PHE, </w:t>
      </w:r>
      <w:r w:rsidR="007A24E4">
        <w:t>the Department of Health and Social Care and other key stakeholders.</w:t>
      </w:r>
    </w:p>
    <w:p w14:paraId="477B3018" w14:textId="77777777" w:rsidR="007A24E4" w:rsidRDefault="007A24E4" w:rsidP="00A01498"/>
    <w:p w14:paraId="4A5CD525" w14:textId="251974E2" w:rsidR="0048321A" w:rsidRDefault="0048321A">
      <w:pPr>
        <w:rPr>
          <w:b/>
        </w:rPr>
      </w:pPr>
      <w:r>
        <w:rPr>
          <w:b/>
        </w:rPr>
        <w:t xml:space="preserve">Integrated </w:t>
      </w:r>
      <w:r w:rsidR="00CB7E8C">
        <w:rPr>
          <w:b/>
        </w:rPr>
        <w:t>S</w:t>
      </w:r>
      <w:r>
        <w:rPr>
          <w:b/>
        </w:rPr>
        <w:t xml:space="preserve">urveillance of AMR in </w:t>
      </w:r>
      <w:r w:rsidR="00097743">
        <w:rPr>
          <w:b/>
        </w:rPr>
        <w:t>Foodborne Bacteria</w:t>
      </w:r>
    </w:p>
    <w:p w14:paraId="20631820" w14:textId="611F8E80" w:rsidR="00951DB8" w:rsidRDefault="00502B1D">
      <w:pPr>
        <w:rPr>
          <w:lang w:val="en-US"/>
        </w:rPr>
      </w:pPr>
      <w:r>
        <w:rPr>
          <w:lang w:val="en-US"/>
        </w:rPr>
        <w:t>This</w:t>
      </w:r>
      <w:r w:rsidR="0068059D">
        <w:rPr>
          <w:lang w:val="en-US"/>
        </w:rPr>
        <w:t xml:space="preserve"> WHO</w:t>
      </w:r>
      <w:r>
        <w:rPr>
          <w:lang w:val="en-US"/>
        </w:rPr>
        <w:t xml:space="preserve"> </w:t>
      </w:r>
      <w:hyperlink r:id="rId31" w:history="1">
        <w:r w:rsidRPr="006B0B69">
          <w:rPr>
            <w:rStyle w:val="Hyperlink"/>
            <w:b/>
            <w:u w:val="single"/>
            <w:lang w:val="en-US"/>
          </w:rPr>
          <w:t>guidance</w:t>
        </w:r>
      </w:hyperlink>
      <w:r>
        <w:rPr>
          <w:lang w:val="en-US"/>
        </w:rPr>
        <w:t xml:space="preserve"> (</w:t>
      </w:r>
      <w:r>
        <w:rPr>
          <w:b/>
          <w:lang w:val="en-US"/>
        </w:rPr>
        <w:t>2017</w:t>
      </w:r>
      <w:r>
        <w:rPr>
          <w:lang w:val="en-US"/>
        </w:rPr>
        <w:t xml:space="preserve">) is to assist in the establishment and development of </w:t>
      </w:r>
      <w:r w:rsidR="00FC33EB">
        <w:rPr>
          <w:lang w:val="en-US"/>
        </w:rPr>
        <w:t>programmes of integrated surveillance of AMR in bacteria commonly transmitted by food by taking a One Health approach</w:t>
      </w:r>
      <w:r w:rsidR="00951DB8">
        <w:rPr>
          <w:lang w:val="en-US"/>
        </w:rPr>
        <w:t>. This expands on traditional public health surveillance to include multiple elements of the food chain and antimicrobial use data to better understand the sources of infection and transmission routes.</w:t>
      </w:r>
    </w:p>
    <w:p w14:paraId="2C3E69ED" w14:textId="77777777" w:rsidR="00CF7523" w:rsidRDefault="00CF7523">
      <w:pPr>
        <w:rPr>
          <w:b/>
        </w:rPr>
      </w:pPr>
    </w:p>
    <w:p w14:paraId="676D97C9" w14:textId="65423C36" w:rsidR="00904C34" w:rsidRPr="00904C34" w:rsidRDefault="00904C34">
      <w:pPr>
        <w:rPr>
          <w:b/>
          <w:bCs/>
          <w:lang w:val="en-US"/>
        </w:rPr>
      </w:pPr>
      <w:r>
        <w:rPr>
          <w:b/>
          <w:bCs/>
          <w:lang w:val="en-US"/>
        </w:rPr>
        <w:t>C</w:t>
      </w:r>
      <w:r w:rsidRPr="00904C34">
        <w:rPr>
          <w:b/>
          <w:bCs/>
          <w:lang w:val="en-US"/>
        </w:rPr>
        <w:t xml:space="preserve">ode of </w:t>
      </w:r>
      <w:r w:rsidR="00CB7E8C">
        <w:rPr>
          <w:b/>
          <w:bCs/>
          <w:lang w:val="en-US"/>
        </w:rPr>
        <w:t>P</w:t>
      </w:r>
      <w:r w:rsidRPr="00904C34">
        <w:rPr>
          <w:b/>
          <w:bCs/>
          <w:lang w:val="en-US"/>
        </w:rPr>
        <w:t xml:space="preserve">ractice on the </w:t>
      </w:r>
      <w:r w:rsidR="00CB7E8C">
        <w:rPr>
          <w:b/>
          <w:bCs/>
          <w:lang w:val="en-US"/>
        </w:rPr>
        <w:t>P</w:t>
      </w:r>
      <w:r w:rsidRPr="00904C34">
        <w:rPr>
          <w:b/>
          <w:bCs/>
          <w:lang w:val="en-US"/>
        </w:rPr>
        <w:t xml:space="preserve">revention and </w:t>
      </w:r>
      <w:r w:rsidR="00CB7E8C">
        <w:rPr>
          <w:b/>
          <w:bCs/>
          <w:lang w:val="en-US"/>
        </w:rPr>
        <w:t>C</w:t>
      </w:r>
      <w:r w:rsidRPr="00904C34">
        <w:rPr>
          <w:b/>
          <w:bCs/>
          <w:lang w:val="en-US"/>
        </w:rPr>
        <w:t xml:space="preserve">ontrol of </w:t>
      </w:r>
      <w:r w:rsidR="00CB7E8C">
        <w:rPr>
          <w:b/>
          <w:bCs/>
          <w:lang w:val="en-US"/>
        </w:rPr>
        <w:t>I</w:t>
      </w:r>
      <w:r w:rsidRPr="00904C34">
        <w:rPr>
          <w:b/>
          <w:bCs/>
          <w:lang w:val="en-US"/>
        </w:rPr>
        <w:t>nfections</w:t>
      </w:r>
    </w:p>
    <w:p w14:paraId="11658BB7" w14:textId="12AA9F17" w:rsidR="00904C34" w:rsidRDefault="00904C34" w:rsidP="00904C34">
      <w:pPr>
        <w:rPr>
          <w:lang w:val="en-US"/>
        </w:rPr>
      </w:pPr>
      <w:r>
        <w:rPr>
          <w:lang w:val="en-US"/>
        </w:rPr>
        <w:t xml:space="preserve">This </w:t>
      </w:r>
      <w:hyperlink r:id="rId32" w:history="1">
        <w:r w:rsidRPr="006B0B69">
          <w:rPr>
            <w:rStyle w:val="Hyperlink"/>
            <w:b/>
            <w:u w:val="single"/>
            <w:lang w:val="en-US"/>
          </w:rPr>
          <w:t>guidance</w:t>
        </w:r>
      </w:hyperlink>
      <w:r>
        <w:rPr>
          <w:lang w:val="en-US"/>
        </w:rPr>
        <w:t xml:space="preserve"> from the Department of Health and Social Care (</w:t>
      </w:r>
      <w:r>
        <w:rPr>
          <w:b/>
          <w:lang w:val="en-US"/>
        </w:rPr>
        <w:t>July 2015</w:t>
      </w:r>
      <w:r>
        <w:rPr>
          <w:lang w:val="en-US"/>
        </w:rPr>
        <w:t xml:space="preserve">) </w:t>
      </w:r>
      <w:r w:rsidR="00AD74EE">
        <w:rPr>
          <w:lang w:val="en-US"/>
        </w:rPr>
        <w:t xml:space="preserve">is for </w:t>
      </w:r>
      <w:r w:rsidR="008960D0">
        <w:rPr>
          <w:lang w:val="en-US"/>
        </w:rPr>
        <w:t xml:space="preserve">all </w:t>
      </w:r>
      <w:r w:rsidR="00AD74EE" w:rsidRPr="00904C34">
        <w:rPr>
          <w:lang w:val="en-US"/>
        </w:rPr>
        <w:t>NHS bodies and providers of independent healthcare and adult social care in England</w:t>
      </w:r>
      <w:r w:rsidR="00AD74EE">
        <w:rPr>
          <w:lang w:val="en-US"/>
        </w:rPr>
        <w:t xml:space="preserve"> to optimize antimicrobial use and reduce AMR.  The law states the code </w:t>
      </w:r>
      <w:r>
        <w:rPr>
          <w:lang w:val="en-US"/>
        </w:rPr>
        <w:t xml:space="preserve">must be </w:t>
      </w:r>
      <w:proofErr w:type="gramStart"/>
      <w:r>
        <w:rPr>
          <w:lang w:val="en-US"/>
        </w:rPr>
        <w:t>taken into account</w:t>
      </w:r>
      <w:proofErr w:type="gramEnd"/>
      <w:r>
        <w:rPr>
          <w:lang w:val="en-US"/>
        </w:rPr>
        <w:t xml:space="preserve"> by the Care Quality Commission when it makes decisions about registration and </w:t>
      </w:r>
      <w:r w:rsidR="00AD74EE">
        <w:rPr>
          <w:lang w:val="en-US"/>
        </w:rPr>
        <w:t xml:space="preserve">providers must have regard to the code when deciding how they will meet </w:t>
      </w:r>
      <w:r w:rsidR="00AD74EE" w:rsidRPr="00904C34">
        <w:rPr>
          <w:lang w:val="en-US"/>
        </w:rPr>
        <w:t>The Health and Social Care Act 2008 (Regulated Activities) Regulations 2014</w:t>
      </w:r>
      <w:r w:rsidR="00AD74EE">
        <w:rPr>
          <w:lang w:val="en-US"/>
        </w:rPr>
        <w:t>.</w:t>
      </w:r>
    </w:p>
    <w:p w14:paraId="156B2E31" w14:textId="77777777" w:rsidR="00904C34" w:rsidRDefault="00904C34">
      <w:pPr>
        <w:rPr>
          <w:b/>
        </w:rPr>
      </w:pPr>
    </w:p>
    <w:p w14:paraId="22F64AAE" w14:textId="4026CDD3" w:rsidR="002D4BDB" w:rsidRPr="006B0B69" w:rsidRDefault="002D4BDB">
      <w:pPr>
        <w:rPr>
          <w:b/>
          <w:u w:color="0432FF"/>
        </w:rPr>
      </w:pPr>
      <w:r w:rsidRPr="006B0B69">
        <w:rPr>
          <w:b/>
          <w:u w:color="0432FF"/>
        </w:rPr>
        <w:t xml:space="preserve">Start </w:t>
      </w:r>
      <w:r w:rsidR="00CB7E8C" w:rsidRPr="006B0B69">
        <w:rPr>
          <w:b/>
          <w:u w:color="0432FF"/>
        </w:rPr>
        <w:t>S</w:t>
      </w:r>
      <w:r w:rsidR="00795035" w:rsidRPr="006B0B69">
        <w:rPr>
          <w:b/>
          <w:u w:color="0432FF"/>
        </w:rPr>
        <w:t>mart</w:t>
      </w:r>
      <w:r w:rsidRPr="006B0B69">
        <w:rPr>
          <w:b/>
          <w:u w:color="0432FF"/>
        </w:rPr>
        <w:t xml:space="preserve"> </w:t>
      </w:r>
      <w:r w:rsidR="00CB7E8C" w:rsidRPr="006B0B69">
        <w:rPr>
          <w:b/>
          <w:u w:color="0432FF"/>
        </w:rPr>
        <w:t>T</w:t>
      </w:r>
      <w:r w:rsidRPr="006B0B69">
        <w:rPr>
          <w:b/>
          <w:u w:color="0432FF"/>
        </w:rPr>
        <w:t xml:space="preserve">hen </w:t>
      </w:r>
      <w:r w:rsidR="00CB7E8C" w:rsidRPr="006B0B69">
        <w:rPr>
          <w:b/>
          <w:u w:color="0432FF"/>
        </w:rPr>
        <w:t>F</w:t>
      </w:r>
      <w:r w:rsidRPr="006B0B69">
        <w:rPr>
          <w:b/>
          <w:u w:color="0432FF"/>
        </w:rPr>
        <w:t>ocus</w:t>
      </w:r>
    </w:p>
    <w:p w14:paraId="2049752B" w14:textId="68E0AECC" w:rsidR="002D4BDB" w:rsidRPr="002D4BDB" w:rsidRDefault="002D4BDB">
      <w:pPr>
        <w:rPr>
          <w:lang w:val="en-US"/>
        </w:rPr>
      </w:pPr>
      <w:r w:rsidRPr="002D4BDB">
        <w:rPr>
          <w:lang w:val="en-US"/>
        </w:rPr>
        <w:t xml:space="preserve">This </w:t>
      </w:r>
      <w:r w:rsidR="00BB0DC1">
        <w:rPr>
          <w:lang w:val="en-US"/>
        </w:rPr>
        <w:t xml:space="preserve">PHE </w:t>
      </w:r>
      <w:hyperlink r:id="rId33" w:history="1">
        <w:r w:rsidRPr="006B0B69">
          <w:rPr>
            <w:rStyle w:val="Hyperlink"/>
            <w:b/>
            <w:u w:val="single"/>
            <w:lang w:val="en-US"/>
          </w:rPr>
          <w:t>toolkit</w:t>
        </w:r>
      </w:hyperlink>
      <w:r w:rsidRPr="002D4BDB">
        <w:rPr>
          <w:lang w:val="en-US"/>
        </w:rPr>
        <w:t xml:space="preserve"> </w:t>
      </w:r>
      <w:r>
        <w:rPr>
          <w:lang w:val="en-US"/>
        </w:rPr>
        <w:t>(</w:t>
      </w:r>
      <w:r w:rsidRPr="002D4BDB">
        <w:rPr>
          <w:b/>
          <w:lang w:val="en-US"/>
        </w:rPr>
        <w:t>updated March 2015</w:t>
      </w:r>
      <w:r>
        <w:rPr>
          <w:lang w:val="en-US"/>
        </w:rPr>
        <w:t xml:space="preserve">) </w:t>
      </w:r>
      <w:r w:rsidR="000C3241">
        <w:rPr>
          <w:lang w:val="en-US"/>
        </w:rPr>
        <w:t xml:space="preserve">is to help organizations demonstrate compliance with the Code of Practice (see above). </w:t>
      </w:r>
      <w:r w:rsidR="006C4617">
        <w:rPr>
          <w:lang w:val="en-US"/>
        </w:rPr>
        <w:t xml:space="preserve">It includes </w:t>
      </w:r>
      <w:r w:rsidR="000C3241">
        <w:rPr>
          <w:lang w:val="en-US"/>
        </w:rPr>
        <w:t>algorithms for antibiotic treatment and surgical prophylaxis and resources including audit tools, drug charts and antimicrobial review stickers.</w:t>
      </w:r>
    </w:p>
    <w:p w14:paraId="1C77BF89" w14:textId="77777777" w:rsidR="00D219C8" w:rsidRDefault="00D219C8">
      <w:pPr>
        <w:rPr>
          <w:b/>
        </w:rPr>
      </w:pPr>
    </w:p>
    <w:p w14:paraId="112AC9F2" w14:textId="1E7938CA" w:rsidR="004501CC" w:rsidRPr="006B0B69" w:rsidRDefault="004501CC">
      <w:pPr>
        <w:rPr>
          <w:b/>
          <w:u w:color="0432FF"/>
        </w:rPr>
      </w:pPr>
      <w:r w:rsidRPr="006B0B69">
        <w:rPr>
          <w:b/>
          <w:u w:color="0432FF"/>
        </w:rPr>
        <w:t xml:space="preserve">Epic3 </w:t>
      </w:r>
      <w:r w:rsidR="00366CF5" w:rsidRPr="006B0B69">
        <w:rPr>
          <w:b/>
          <w:u w:color="0432FF"/>
        </w:rPr>
        <w:t>G</w:t>
      </w:r>
      <w:r w:rsidRPr="006B0B69">
        <w:rPr>
          <w:b/>
          <w:u w:color="0432FF"/>
        </w:rPr>
        <w:t xml:space="preserve">uidelines for </w:t>
      </w:r>
      <w:r w:rsidR="00366CF5" w:rsidRPr="006B0B69">
        <w:rPr>
          <w:b/>
          <w:u w:color="0432FF"/>
        </w:rPr>
        <w:t>P</w:t>
      </w:r>
      <w:r w:rsidRPr="006B0B69">
        <w:rPr>
          <w:b/>
          <w:u w:color="0432FF"/>
        </w:rPr>
        <w:t xml:space="preserve">reventing </w:t>
      </w:r>
      <w:r w:rsidR="00DD3BA3" w:rsidRPr="006B0B69">
        <w:rPr>
          <w:b/>
          <w:u w:color="0432FF"/>
        </w:rPr>
        <w:t>Healthcare-Associated Infections</w:t>
      </w:r>
    </w:p>
    <w:p w14:paraId="5C6EA10E" w14:textId="3F282265" w:rsidR="004501CC" w:rsidRPr="00A01498" w:rsidRDefault="004501CC">
      <w:r w:rsidRPr="00CD5E96">
        <w:rPr>
          <w:lang w:val="en-US"/>
        </w:rPr>
        <w:t xml:space="preserve">These </w:t>
      </w:r>
      <w:hyperlink r:id="rId34" w:history="1">
        <w:r w:rsidRPr="006B0B69">
          <w:rPr>
            <w:rStyle w:val="Hyperlink"/>
            <w:b/>
            <w:u w:val="single"/>
            <w:lang w:val="en-US"/>
          </w:rPr>
          <w:t>guidelines</w:t>
        </w:r>
      </w:hyperlink>
      <w:r w:rsidR="002D4BDB">
        <w:rPr>
          <w:lang w:val="en-US"/>
        </w:rPr>
        <w:t xml:space="preserve"> (</w:t>
      </w:r>
      <w:r w:rsidR="002D4BDB">
        <w:rPr>
          <w:b/>
          <w:lang w:val="en-US"/>
        </w:rPr>
        <w:t>2014</w:t>
      </w:r>
      <w:r w:rsidR="002D4BDB">
        <w:rPr>
          <w:lang w:val="en-US"/>
        </w:rPr>
        <w:t>)</w:t>
      </w:r>
      <w:r w:rsidRPr="004501CC">
        <w:rPr>
          <w:lang w:val="en-US"/>
        </w:rPr>
        <w:t xml:space="preserve"> </w:t>
      </w:r>
      <w:r w:rsidR="005146C4">
        <w:rPr>
          <w:lang w:val="en-US"/>
        </w:rPr>
        <w:t>detail the standard principles</w:t>
      </w:r>
      <w:r w:rsidRPr="004501CC">
        <w:rPr>
          <w:lang w:val="en-US"/>
        </w:rPr>
        <w:t xml:space="preserve"> for preventing HCAI in hospital and other acute care settings</w:t>
      </w:r>
      <w:r w:rsidR="009F1F25">
        <w:rPr>
          <w:lang w:val="en-US"/>
        </w:rPr>
        <w:t xml:space="preserve"> and </w:t>
      </w:r>
      <w:r w:rsidR="005146C4">
        <w:rPr>
          <w:lang w:val="en-US"/>
        </w:rPr>
        <w:t xml:space="preserve">include recommendations </w:t>
      </w:r>
      <w:r w:rsidR="00DD3BA3">
        <w:rPr>
          <w:lang w:val="en-US"/>
        </w:rPr>
        <w:t>for preventing infections associated with use of short-term indwelling urethral catheters and intravascular access devices.</w:t>
      </w:r>
    </w:p>
    <w:p w14:paraId="7E365152" w14:textId="73F18190" w:rsidR="009E09E2" w:rsidRDefault="009E09E2"/>
    <w:p w14:paraId="04DAC1B6" w14:textId="41D941D7" w:rsidR="009E09E2" w:rsidRDefault="009E09E2" w:rsidP="009E09E2">
      <w:pPr>
        <w:rPr>
          <w:szCs w:val="24"/>
          <w:lang w:val="en"/>
        </w:rPr>
      </w:pPr>
      <w:r w:rsidRPr="00DE07C9">
        <w:rPr>
          <w:noProof/>
          <w:szCs w:val="24"/>
          <w:lang w:val="en-US"/>
        </w:rPr>
        <mc:AlternateContent>
          <mc:Choice Requires="wps">
            <w:drawing>
              <wp:anchor distT="0" distB="0" distL="114300" distR="114300" simplePos="0" relativeHeight="251665408" behindDoc="0" locked="0" layoutInCell="1" allowOverlap="1" wp14:anchorId="0C696D07" wp14:editId="42F20839">
                <wp:simplePos x="0" y="0"/>
                <wp:positionH relativeFrom="column">
                  <wp:posOffset>-762635</wp:posOffset>
                </wp:positionH>
                <wp:positionV relativeFrom="paragraph">
                  <wp:posOffset>101600</wp:posOffset>
                </wp:positionV>
                <wp:extent cx="7824470" cy="371475"/>
                <wp:effectExtent l="0" t="0" r="508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4470" cy="371475"/>
                        </a:xfrm>
                        <a:prstGeom prst="rect">
                          <a:avLst/>
                        </a:prstGeom>
                        <a:solidFill>
                          <a:srgbClr val="980029"/>
                        </a:solidFill>
                        <a:ln w="9525">
                          <a:noFill/>
                          <a:miter lim="800000"/>
                          <a:headEnd/>
                          <a:tailEnd/>
                        </a:ln>
                      </wps:spPr>
                      <wps:txbx>
                        <w:txbxContent>
                          <w:p w14:paraId="4B79B3FB" w14:textId="77777777" w:rsidR="009E09E2" w:rsidRPr="00DE07C9" w:rsidRDefault="009E09E2" w:rsidP="009E09E2">
                            <w:pPr>
                              <w:spacing w:line="480" w:lineRule="auto"/>
                              <w:ind w:left="720"/>
                              <w:rPr>
                                <w:b/>
                                <w:color w:val="FFFFFF" w:themeColor="background1"/>
                                <w:sz w:val="32"/>
                                <w:szCs w:val="32"/>
                              </w:rPr>
                            </w:pPr>
                            <w:r>
                              <w:rPr>
                                <w:b/>
                                <w:color w:val="FFFFFF" w:themeColor="background1"/>
                                <w:sz w:val="32"/>
                                <w:szCs w:val="32"/>
                              </w:rPr>
                              <w:t xml:space="preserve">    NICE Guidelines and Quality Standards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696D07" id="_x0000_s1028" type="#_x0000_t202" style="position:absolute;margin-left:-60.05pt;margin-top:8pt;width:616.1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" fillcolor="#980029" stroked="f">
                <v:textbox>
                  <w:txbxContent>
                    <w:p w14:paraId="4B79B3FB" w14:textId="77777777" w:rsidR="009E09E2" w:rsidRPr="00DE07C9" w:rsidRDefault="009E09E2" w:rsidP="009E09E2">
                      <w:pPr>
                        <w:spacing w:line="480" w:lineRule="auto"/>
                        <w:ind w:left="720"/>
                        <w:rPr>
                          <w:b/>
                          <w:color w:val="FFFFFF" w:themeColor="background1"/>
                          <w:sz w:val="32"/>
                          <w:szCs w:val="32"/>
                        </w:rPr>
                      </w:pPr>
                      <w:r>
                        <w:rPr>
                          <w:b/>
                          <w:color w:val="FFFFFF" w:themeColor="background1"/>
                          <w:sz w:val="32"/>
                          <w:szCs w:val="32"/>
                        </w:rPr>
                        <w:t xml:space="preserve">    NICE Guidelines and Quality Standards</w:t>
                      </w:r>
                    </w:p>
                  </w:txbxContent>
                </v:textbox>
              </v:shape>
            </w:pict>
          </mc:Fallback>
        </mc:AlternateContent>
      </w:r>
    </w:p>
    <w:p w14:paraId="57460D9A" w14:textId="2D38CC41" w:rsidR="009E09E2" w:rsidRDefault="009E09E2" w:rsidP="009E09E2">
      <w:pPr>
        <w:rPr>
          <w:szCs w:val="24"/>
          <w:lang w:val="en"/>
        </w:rPr>
      </w:pPr>
    </w:p>
    <w:p w14:paraId="3584A669" w14:textId="4A94D7F5" w:rsidR="009E09E2" w:rsidRDefault="009E09E2" w:rsidP="009E09E2">
      <w:pPr>
        <w:rPr>
          <w:lang w:val="en"/>
        </w:rPr>
      </w:pPr>
    </w:p>
    <w:p w14:paraId="573EF483" w14:textId="27C5ED86" w:rsidR="00C808EF" w:rsidRDefault="00C808EF"/>
    <w:p w14:paraId="550CA804" w14:textId="3B1F8763" w:rsidR="003F5313" w:rsidRPr="007704CA" w:rsidRDefault="007C516E">
      <w:pPr>
        <w:rPr>
          <w:lang w:val="en-US"/>
        </w:rPr>
      </w:pPr>
      <w:hyperlink r:id="rId35" w:history="1">
        <w:r w:rsidR="003F5313" w:rsidRPr="007704CA">
          <w:rPr>
            <w:rStyle w:val="Hyperlink"/>
            <w:b/>
            <w:lang w:val="en-US"/>
          </w:rPr>
          <w:t>Antimicrobial stewardship: changing risk-related behaviours in the general population</w:t>
        </w:r>
      </w:hyperlink>
      <w:r w:rsidR="003F5313" w:rsidRPr="003F5313">
        <w:rPr>
          <w:b/>
          <w:lang w:val="en-US"/>
        </w:rPr>
        <w:t xml:space="preserve"> (January 2017)</w:t>
      </w:r>
    </w:p>
    <w:p w14:paraId="66B7CA76" w14:textId="5C7999AC" w:rsidR="007704CA" w:rsidRPr="007704CA" w:rsidRDefault="007704CA">
      <w:pPr>
        <w:rPr>
          <w:lang w:val="en-US"/>
        </w:rPr>
      </w:pPr>
      <w:r w:rsidRPr="007704CA">
        <w:rPr>
          <w:lang w:val="en-US"/>
        </w:rPr>
        <w:t xml:space="preserve">This </w:t>
      </w:r>
      <w:r>
        <w:rPr>
          <w:lang w:val="en-US"/>
        </w:rPr>
        <w:t xml:space="preserve">NICE </w:t>
      </w:r>
      <w:r w:rsidRPr="007704CA">
        <w:rPr>
          <w:lang w:val="en-US"/>
        </w:rPr>
        <w:t xml:space="preserve">guideline </w:t>
      </w:r>
      <w:r>
        <w:rPr>
          <w:lang w:val="en-US"/>
        </w:rPr>
        <w:t xml:space="preserve">is to make </w:t>
      </w:r>
      <w:r w:rsidRPr="007704CA">
        <w:rPr>
          <w:lang w:val="en-US"/>
        </w:rPr>
        <w:t xml:space="preserve">people aware of how to correctly use antimicrobial medicines (including antibiotics) and the dangers associated with their overuse and misuse. It also includes measures to prevent and control infection that can stop people needing antimicrobials </w:t>
      </w:r>
      <w:r w:rsidRPr="007704CA">
        <w:rPr>
          <w:lang w:val="en-US"/>
        </w:rPr>
        <w:lastRenderedPageBreak/>
        <w:t>or spreadi</w:t>
      </w:r>
      <w:r>
        <w:rPr>
          <w:lang w:val="en-US"/>
        </w:rPr>
        <w:t>ng infection to others. It aims to change people’s behavior to reduce AMR and the spread of resistant microbes.</w:t>
      </w:r>
    </w:p>
    <w:p w14:paraId="61967A51" w14:textId="620B9AE3" w:rsidR="003F5313" w:rsidRDefault="003F5313"/>
    <w:p w14:paraId="25372307" w14:textId="1D64CB57" w:rsidR="00C808EF" w:rsidRDefault="007C516E">
      <w:hyperlink r:id="rId36" w:history="1">
        <w:r w:rsidR="00C808EF" w:rsidRPr="008349AD">
          <w:rPr>
            <w:rStyle w:val="Hyperlink"/>
            <w:b/>
          </w:rPr>
          <w:t>Antimicrobial stewardship</w:t>
        </w:r>
      </w:hyperlink>
      <w:r w:rsidR="00C808EF">
        <w:rPr>
          <w:b/>
        </w:rPr>
        <w:t xml:space="preserve"> (April 2016)</w:t>
      </w:r>
    </w:p>
    <w:p w14:paraId="445BC94C" w14:textId="27F65723" w:rsidR="008349AD" w:rsidRPr="008349AD" w:rsidRDefault="008349AD">
      <w:pPr>
        <w:rPr>
          <w:lang w:val="en-US"/>
        </w:rPr>
      </w:pPr>
      <w:r>
        <w:t xml:space="preserve">This quality standard </w:t>
      </w:r>
      <w:r w:rsidRPr="008349AD">
        <w:rPr>
          <w:lang w:val="en-US"/>
        </w:rPr>
        <w:t>covers the effective use of antimicrobial medicines (including antibiotics)</w:t>
      </w:r>
      <w:r>
        <w:rPr>
          <w:lang w:val="en-US"/>
        </w:rPr>
        <w:t xml:space="preserve"> in all settings</w:t>
      </w:r>
      <w:r w:rsidRPr="008349AD">
        <w:rPr>
          <w:lang w:val="en-US"/>
        </w:rPr>
        <w:t xml:space="preserve"> to reduce the risk of </w:t>
      </w:r>
      <w:r>
        <w:rPr>
          <w:lang w:val="en-US"/>
        </w:rPr>
        <w:t>AMR</w:t>
      </w:r>
      <w:r w:rsidRPr="008349AD">
        <w:rPr>
          <w:lang w:val="en-US"/>
        </w:rPr>
        <w:t>.</w:t>
      </w:r>
    </w:p>
    <w:p w14:paraId="4F478A6D" w14:textId="4564A736" w:rsidR="00C808EF" w:rsidRDefault="00C808EF"/>
    <w:p w14:paraId="06964AFF" w14:textId="7C47C262" w:rsidR="00C808EF" w:rsidRDefault="007C516E">
      <w:hyperlink r:id="rId37" w:history="1">
        <w:r w:rsidR="00C808EF" w:rsidRPr="006B0B69">
          <w:rPr>
            <w:rStyle w:val="Hyperlink"/>
            <w:b/>
            <w:u w:color="0432FF"/>
          </w:rPr>
          <w:t>Healthcare-associated infections</w:t>
        </w:r>
      </w:hyperlink>
      <w:r w:rsidR="00C808EF">
        <w:rPr>
          <w:b/>
        </w:rPr>
        <w:t xml:space="preserve"> (February 2016)</w:t>
      </w:r>
    </w:p>
    <w:p w14:paraId="5B1F50A7" w14:textId="70DF0AF3" w:rsidR="00ED65DE" w:rsidRPr="00ED65DE" w:rsidRDefault="00ED65DE">
      <w:pPr>
        <w:rPr>
          <w:lang w:val="en-US"/>
        </w:rPr>
      </w:pPr>
      <w:r w:rsidRPr="00ED65DE">
        <w:rPr>
          <w:lang w:val="en-US"/>
        </w:rPr>
        <w:t>This quality standard</w:t>
      </w:r>
      <w:r w:rsidR="00AA262D">
        <w:rPr>
          <w:lang w:val="en-US"/>
        </w:rPr>
        <w:t xml:space="preserve"> is to prevent and control</w:t>
      </w:r>
      <w:r w:rsidRPr="00ED65DE">
        <w:rPr>
          <w:lang w:val="en-US"/>
        </w:rPr>
        <w:t xml:space="preserve"> infections in secondary care settings that develop because of treatment or from being in a healthcare setting. It includes monitoring, responsibilities, and policies and procedures in secondary care organisations to reduce the risk of infection i</w:t>
      </w:r>
      <w:r w:rsidR="00AA262D">
        <w:rPr>
          <w:lang w:val="en-US"/>
        </w:rPr>
        <w:t>n patients, staff and visitors.</w:t>
      </w:r>
    </w:p>
    <w:p w14:paraId="4EC7D27B" w14:textId="0D9E19D2" w:rsidR="009E09E2" w:rsidRDefault="009E09E2"/>
    <w:p w14:paraId="01F9E373" w14:textId="43271940" w:rsidR="00B3440B" w:rsidRDefault="007C516E">
      <w:pPr>
        <w:rPr>
          <w:b/>
        </w:rPr>
      </w:pPr>
      <w:hyperlink r:id="rId38" w:history="1">
        <w:r w:rsidR="00B3440B" w:rsidRPr="00E91894">
          <w:rPr>
            <w:rStyle w:val="Hyperlink"/>
            <w:b/>
          </w:rPr>
          <w:t>Antimicrobial stewardship: systems and processes for effective antimicrobial medicine</w:t>
        </w:r>
        <w:r w:rsidR="00E91894" w:rsidRPr="00E91894">
          <w:rPr>
            <w:rStyle w:val="Hyperlink"/>
            <w:b/>
          </w:rPr>
          <w:t xml:space="preserve"> use</w:t>
        </w:r>
      </w:hyperlink>
      <w:r w:rsidR="00E91894">
        <w:rPr>
          <w:b/>
        </w:rPr>
        <w:t xml:space="preserve"> (</w:t>
      </w:r>
      <w:r w:rsidR="00D6736B">
        <w:rPr>
          <w:b/>
        </w:rPr>
        <w:t>August 2015)</w:t>
      </w:r>
    </w:p>
    <w:p w14:paraId="48AAA79B" w14:textId="5BB4AD12" w:rsidR="00D6736B" w:rsidRPr="00BC2652" w:rsidRDefault="00D6736B">
      <w:pPr>
        <w:rPr>
          <w:lang w:val="en-US"/>
        </w:rPr>
      </w:pPr>
      <w:r>
        <w:t xml:space="preserve">This NICE </w:t>
      </w:r>
      <w:r w:rsidR="00BC2652" w:rsidRPr="00BC2652">
        <w:rPr>
          <w:lang w:val="en-US"/>
        </w:rPr>
        <w:t xml:space="preserve">guideline covers the effective use of antimicrobials (including antibiotics) in children, young people and adults. It aims to change prescribing practice to help slow the emergence of </w:t>
      </w:r>
      <w:r w:rsidR="00BC2652">
        <w:rPr>
          <w:lang w:val="en-US"/>
        </w:rPr>
        <w:t xml:space="preserve">AMR </w:t>
      </w:r>
      <w:r w:rsidR="00BC2652" w:rsidRPr="00BC2652">
        <w:rPr>
          <w:lang w:val="en-US"/>
        </w:rPr>
        <w:t>and ensure that antimicrobials remain an effective treatment for infection.</w:t>
      </w:r>
    </w:p>
    <w:p w14:paraId="2B6CA4C5" w14:textId="7D7EC9AC" w:rsidR="00B3440B" w:rsidRDefault="00B3440B"/>
    <w:p w14:paraId="78A66A53" w14:textId="2FAACF8F" w:rsidR="00F77C8D" w:rsidRDefault="007C516E">
      <w:pPr>
        <w:rPr>
          <w:b/>
        </w:rPr>
      </w:pPr>
      <w:hyperlink r:id="rId39" w:history="1">
        <w:r w:rsidR="00F77C8D" w:rsidRPr="00F77C8D">
          <w:rPr>
            <w:rStyle w:val="Hyperlink"/>
            <w:b/>
          </w:rPr>
          <w:t>Infection prevention and control</w:t>
        </w:r>
      </w:hyperlink>
      <w:r w:rsidR="00F77C8D">
        <w:rPr>
          <w:b/>
        </w:rPr>
        <w:t xml:space="preserve"> (April 2014)</w:t>
      </w:r>
    </w:p>
    <w:p w14:paraId="5E25FE26" w14:textId="65ABF34F" w:rsidR="00F77C8D" w:rsidRPr="00F77C8D" w:rsidRDefault="00F77C8D" w:rsidP="00F77C8D">
      <w:pPr>
        <w:rPr>
          <w:lang w:val="en-US"/>
        </w:rPr>
      </w:pPr>
      <w:r w:rsidRPr="00F77C8D">
        <w:rPr>
          <w:lang w:val="en-US"/>
        </w:rPr>
        <w:t xml:space="preserve">This quality standard </w:t>
      </w:r>
      <w:r w:rsidR="00AA262D">
        <w:rPr>
          <w:lang w:val="en-US"/>
        </w:rPr>
        <w:t>is to prevent and control</w:t>
      </w:r>
      <w:r w:rsidRPr="00F77C8D">
        <w:rPr>
          <w:lang w:val="en-US"/>
        </w:rPr>
        <w:t xml:space="preserve"> infection in adults, young people and children receiving healthcare in primary, community and secondary care settings. It includes preventing healthcare-associated infections.</w:t>
      </w:r>
    </w:p>
    <w:p w14:paraId="719D459A" w14:textId="1EC35ED5" w:rsidR="00F77C8D" w:rsidRPr="00F77C8D" w:rsidRDefault="00F77C8D"/>
    <w:p w14:paraId="62E29B36" w14:textId="583C9912" w:rsidR="009E09E2" w:rsidRDefault="009E09E2" w:rsidP="009E09E2">
      <w:pPr>
        <w:spacing w:before="240"/>
        <w:rPr>
          <w:b/>
          <w:szCs w:val="24"/>
          <w:lang w:eastAsia="en-GB"/>
        </w:rPr>
      </w:pPr>
      <w:r w:rsidRPr="00DE07C9">
        <w:rPr>
          <w:noProof/>
          <w:szCs w:val="24"/>
          <w:lang w:val="en-US"/>
        </w:rPr>
        <mc:AlternateContent>
          <mc:Choice Requires="wps">
            <w:drawing>
              <wp:anchor distT="0" distB="0" distL="114300" distR="114300" simplePos="0" relativeHeight="251667456" behindDoc="0" locked="0" layoutInCell="1" allowOverlap="1" wp14:anchorId="63A8F103" wp14:editId="6BF2624F">
                <wp:simplePos x="0" y="0"/>
                <wp:positionH relativeFrom="column">
                  <wp:posOffset>-762635</wp:posOffset>
                </wp:positionH>
                <wp:positionV relativeFrom="paragraph">
                  <wp:posOffset>101600</wp:posOffset>
                </wp:positionV>
                <wp:extent cx="7824470" cy="371475"/>
                <wp:effectExtent l="0" t="0" r="508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4470" cy="371475"/>
                        </a:xfrm>
                        <a:prstGeom prst="rect">
                          <a:avLst/>
                        </a:prstGeom>
                        <a:solidFill>
                          <a:srgbClr val="980029"/>
                        </a:solidFill>
                        <a:ln w="9525">
                          <a:noFill/>
                          <a:miter lim="800000"/>
                          <a:headEnd/>
                          <a:tailEnd/>
                        </a:ln>
                      </wps:spPr>
                      <wps:txbx>
                        <w:txbxContent>
                          <w:p w14:paraId="25E099E7" w14:textId="77777777" w:rsidR="009E09E2" w:rsidRPr="00DE07C9" w:rsidRDefault="009E09E2" w:rsidP="009E09E2">
                            <w:pPr>
                              <w:spacing w:line="480" w:lineRule="auto"/>
                              <w:ind w:left="720"/>
                              <w:rPr>
                                <w:b/>
                                <w:color w:val="FFFFFF" w:themeColor="background1"/>
                                <w:sz w:val="32"/>
                                <w:szCs w:val="32"/>
                              </w:rPr>
                            </w:pPr>
                            <w:r>
                              <w:rPr>
                                <w:b/>
                                <w:color w:val="FFFFFF" w:themeColor="background1"/>
                                <w:sz w:val="32"/>
                                <w:szCs w:val="32"/>
                              </w:rPr>
                              <w:t xml:space="preserve">    Initiatives and Campaigns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A8F103" id="_x0000_s1029" type="#_x0000_t202" style="position:absolute;margin-left:-60.05pt;margin-top:8pt;width:616.1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" fillcolor="#980029" stroked="f">
                <v:textbox>
                  <w:txbxContent>
                    <w:p w14:paraId="25E099E7" w14:textId="77777777" w:rsidR="009E09E2" w:rsidRPr="00DE07C9" w:rsidRDefault="009E09E2" w:rsidP="009E09E2">
                      <w:pPr>
                        <w:spacing w:line="480" w:lineRule="auto"/>
                        <w:ind w:left="720"/>
                        <w:rPr>
                          <w:b/>
                          <w:color w:val="FFFFFF" w:themeColor="background1"/>
                          <w:sz w:val="32"/>
                          <w:szCs w:val="32"/>
                        </w:rPr>
                      </w:pPr>
                      <w:r>
                        <w:rPr>
                          <w:b/>
                          <w:color w:val="FFFFFF" w:themeColor="background1"/>
                          <w:sz w:val="32"/>
                          <w:szCs w:val="32"/>
                        </w:rPr>
                        <w:t xml:space="preserve">    Initiatives and Campaigns</w:t>
                      </w:r>
                    </w:p>
                  </w:txbxContent>
                </v:textbox>
              </v:shape>
            </w:pict>
          </mc:Fallback>
        </mc:AlternateContent>
      </w:r>
    </w:p>
    <w:p w14:paraId="2A69615A" w14:textId="79F61A78" w:rsidR="009E09E2" w:rsidRDefault="009E09E2" w:rsidP="009E09E2">
      <w:pPr>
        <w:rPr>
          <w:b/>
          <w:szCs w:val="24"/>
          <w:lang w:eastAsia="en-GB"/>
        </w:rPr>
      </w:pPr>
    </w:p>
    <w:p w14:paraId="28A94CA4" w14:textId="1291504D" w:rsidR="00D8542E" w:rsidRPr="00D8542E" w:rsidRDefault="00D8542E"/>
    <w:p w14:paraId="7811206D" w14:textId="418F75C4" w:rsidR="00090BBE" w:rsidRPr="00090BBE" w:rsidRDefault="00090BBE" w:rsidP="00693718">
      <w:pPr>
        <w:tabs>
          <w:tab w:val="left" w:pos="270"/>
        </w:tabs>
        <w:rPr>
          <w:b/>
        </w:rPr>
      </w:pPr>
      <w:r>
        <w:rPr>
          <w:b/>
        </w:rPr>
        <w:t>Antibiotic Guardian</w:t>
      </w:r>
    </w:p>
    <w:p w14:paraId="471292BF" w14:textId="6993BB5F" w:rsidR="00090BBE" w:rsidRDefault="00090BBE" w:rsidP="00693718">
      <w:pPr>
        <w:tabs>
          <w:tab w:val="left" w:pos="270"/>
        </w:tabs>
        <w:rPr>
          <w:b/>
        </w:rPr>
      </w:pPr>
      <w:r>
        <w:t xml:space="preserve">This ongoing PHE </w:t>
      </w:r>
      <w:hyperlink r:id="rId40" w:history="1">
        <w:r w:rsidRPr="006B0B69">
          <w:rPr>
            <w:rStyle w:val="Hyperlink"/>
            <w:b/>
            <w:u w:val="single"/>
          </w:rPr>
          <w:t>initiative</w:t>
        </w:r>
      </w:hyperlink>
      <w:r>
        <w:t xml:space="preserve"> invites members of the public, students, educators, scientists and health and social care professionals and leaders to choose a pledge in order to make better use of antibiotics and help save these vital medicines from becoming obsolete.</w:t>
      </w:r>
    </w:p>
    <w:p w14:paraId="1294F895" w14:textId="285C750C" w:rsidR="00090BBE" w:rsidRDefault="00090BBE" w:rsidP="00693718">
      <w:pPr>
        <w:tabs>
          <w:tab w:val="left" w:pos="270"/>
        </w:tabs>
        <w:ind w:left="2520"/>
        <w:rPr>
          <w:b/>
        </w:rPr>
      </w:pPr>
    </w:p>
    <w:p w14:paraId="52191FBD" w14:textId="4F1E492B" w:rsidR="009E09E2" w:rsidRDefault="00D36539" w:rsidP="00693718">
      <w:pPr>
        <w:tabs>
          <w:tab w:val="left" w:pos="270"/>
        </w:tabs>
        <w:rPr>
          <w:b/>
        </w:rPr>
      </w:pPr>
      <w:r w:rsidRPr="00D36539">
        <w:rPr>
          <w:b/>
        </w:rPr>
        <w:t>Keep Antibiotics Working</w:t>
      </w:r>
    </w:p>
    <w:p w14:paraId="013CE75A" w14:textId="676B75B9" w:rsidR="00090BBE" w:rsidRDefault="00F364E3" w:rsidP="00693718">
      <w:pPr>
        <w:tabs>
          <w:tab w:val="left" w:pos="270"/>
        </w:tabs>
      </w:pPr>
      <w:r>
        <w:t>PHE relaunched this</w:t>
      </w:r>
      <w:r w:rsidR="00AA262D">
        <w:t xml:space="preserve"> national </w:t>
      </w:r>
      <w:hyperlink r:id="rId41" w:history="1">
        <w:r w:rsidR="00AA262D" w:rsidRPr="006B0B69">
          <w:rPr>
            <w:rStyle w:val="Hyperlink"/>
            <w:b/>
            <w:u w:val="single"/>
          </w:rPr>
          <w:t>campaign</w:t>
        </w:r>
      </w:hyperlink>
      <w:r w:rsidR="00AA262D">
        <w:t xml:space="preserve"> in </w:t>
      </w:r>
      <w:r w:rsidR="00AA262D" w:rsidRPr="00896562">
        <w:t>October 2018</w:t>
      </w:r>
      <w:r w:rsidR="00AA262D">
        <w:t xml:space="preserve"> </w:t>
      </w:r>
      <w:r w:rsidR="00C52F12">
        <w:t>t</w:t>
      </w:r>
      <w:r w:rsidR="00AA262D">
        <w:t>o support government efforts to reduce inappropriate antibiotic prescriptions by raising awareness of antibiotic resistance and hence reducing demand from the public.</w:t>
      </w:r>
      <w:r w:rsidR="007C69AF">
        <w:t xml:space="preserve"> </w:t>
      </w:r>
      <w:r w:rsidR="008A4B11">
        <w:t>Resources, including leaflets and posters, are available to download and order for websites, clinical settings and local authority buildings.</w:t>
      </w:r>
    </w:p>
    <w:p w14:paraId="544941A6" w14:textId="2B03CC87" w:rsidR="00090BBE" w:rsidRDefault="00090BBE" w:rsidP="00693718">
      <w:pPr>
        <w:tabs>
          <w:tab w:val="left" w:pos="270"/>
        </w:tabs>
        <w:ind w:left="2520"/>
      </w:pPr>
    </w:p>
    <w:p w14:paraId="4B99F36E" w14:textId="77777777" w:rsidR="000F1432" w:rsidRPr="00DE2DB8" w:rsidRDefault="000F1432" w:rsidP="00693718">
      <w:pPr>
        <w:tabs>
          <w:tab w:val="left" w:pos="270"/>
        </w:tabs>
        <w:rPr>
          <w:b/>
          <w:u w:val="thick" w:color="0432FF"/>
        </w:rPr>
      </w:pPr>
      <w:r w:rsidRPr="00DE2DB8">
        <w:rPr>
          <w:b/>
          <w:u w:val="thick" w:color="0432FF"/>
        </w:rPr>
        <w:t>Fighting AMR</w:t>
      </w:r>
    </w:p>
    <w:p w14:paraId="409E8136" w14:textId="6D26B428" w:rsidR="000F1432" w:rsidRDefault="000F1432" w:rsidP="00693718">
      <w:pPr>
        <w:tabs>
          <w:tab w:val="left" w:pos="270"/>
        </w:tabs>
      </w:pPr>
      <w:r>
        <w:t xml:space="preserve">This NHS Improvement </w:t>
      </w:r>
      <w:hyperlink r:id="rId42" w:history="1">
        <w:r w:rsidRPr="006B0B69">
          <w:rPr>
            <w:rStyle w:val="Hyperlink"/>
            <w:b/>
            <w:u w:val="single"/>
          </w:rPr>
          <w:t>programme</w:t>
        </w:r>
      </w:hyperlink>
      <w:r>
        <w:t xml:space="preserve"> launched in </w:t>
      </w:r>
      <w:r w:rsidR="00F630FC">
        <w:t xml:space="preserve">April </w:t>
      </w:r>
      <w:r>
        <w:t>2016, offering hospitals, family doctors and other health service providers incentive funding worth up to £150 million to support expert pharmacists and clinicians review and reduce inappropriate prescribing.</w:t>
      </w:r>
    </w:p>
    <w:p w14:paraId="1BCFD01B" w14:textId="77777777" w:rsidR="000F1432" w:rsidRDefault="000F1432" w:rsidP="00693718">
      <w:pPr>
        <w:tabs>
          <w:tab w:val="left" w:pos="270"/>
        </w:tabs>
        <w:ind w:left="2520"/>
      </w:pPr>
    </w:p>
    <w:p w14:paraId="4029F8E8" w14:textId="57B7B179" w:rsidR="006E53EC" w:rsidRPr="002476F6" w:rsidRDefault="006E53EC" w:rsidP="00693718">
      <w:pPr>
        <w:tabs>
          <w:tab w:val="left" w:pos="270"/>
        </w:tabs>
      </w:pPr>
      <w:r>
        <w:rPr>
          <w:b/>
        </w:rPr>
        <w:t>Tackling AMR</w:t>
      </w:r>
    </w:p>
    <w:p w14:paraId="49B3EEE1" w14:textId="486579E8" w:rsidR="00A2407B" w:rsidRDefault="00A2407B" w:rsidP="00693718">
      <w:pPr>
        <w:tabs>
          <w:tab w:val="left" w:pos="270"/>
        </w:tabs>
      </w:pPr>
      <w:r>
        <w:t>The National Institu</w:t>
      </w:r>
      <w:r w:rsidR="00134F36">
        <w:t>t</w:t>
      </w:r>
      <w:r>
        <w:t xml:space="preserve">e of Health Research launched this </w:t>
      </w:r>
      <w:hyperlink r:id="rId43" w:history="1">
        <w:r w:rsidR="006E53EC" w:rsidRPr="006B0B69">
          <w:rPr>
            <w:rStyle w:val="Hyperlink"/>
            <w:b/>
            <w:u w:val="single"/>
          </w:rPr>
          <w:t>campaign</w:t>
        </w:r>
      </w:hyperlink>
      <w:r w:rsidR="006E53EC">
        <w:t xml:space="preserve"> </w:t>
      </w:r>
      <w:r>
        <w:t xml:space="preserve">to highlight the role research has to play in </w:t>
      </w:r>
      <w:r w:rsidR="00564F4D">
        <w:t>combating the AMR threat and to support researchers, life science industry and other key players to tackle AMR.</w:t>
      </w:r>
    </w:p>
    <w:p w14:paraId="294E3834" w14:textId="6BC24B93" w:rsidR="007F25C2" w:rsidRPr="007F25C2" w:rsidRDefault="007F25C2" w:rsidP="00693718">
      <w:pPr>
        <w:tabs>
          <w:tab w:val="left" w:pos="270"/>
        </w:tabs>
        <w:ind w:left="2520"/>
      </w:pPr>
    </w:p>
    <w:p w14:paraId="65E55C5B" w14:textId="4C5DC9A3" w:rsidR="00B1526B" w:rsidRDefault="00B1526B" w:rsidP="00693718">
      <w:pPr>
        <w:tabs>
          <w:tab w:val="left" w:pos="270"/>
        </w:tabs>
        <w:rPr>
          <w:b/>
        </w:rPr>
      </w:pPr>
      <w:r w:rsidRPr="00FA7019">
        <w:rPr>
          <w:b/>
        </w:rPr>
        <w:t>AMR</w:t>
      </w:r>
      <w:r w:rsidR="00FA7019">
        <w:rPr>
          <w:b/>
        </w:rPr>
        <w:t xml:space="preserve"> Campaign Kit</w:t>
      </w:r>
    </w:p>
    <w:p w14:paraId="439C6797" w14:textId="277DEBFA" w:rsidR="00BC5252" w:rsidRDefault="00974004" w:rsidP="00693718">
      <w:pPr>
        <w:tabs>
          <w:tab w:val="left" w:pos="270"/>
        </w:tabs>
      </w:pPr>
      <w:r>
        <w:t xml:space="preserve">This </w:t>
      </w:r>
      <w:hyperlink r:id="rId44" w:history="1">
        <w:r w:rsidR="00FA7019" w:rsidRPr="006B0B69">
          <w:rPr>
            <w:rStyle w:val="Hyperlink"/>
            <w:b/>
            <w:u w:val="single"/>
          </w:rPr>
          <w:t>campaign kit</w:t>
        </w:r>
      </w:hyperlink>
      <w:r w:rsidR="00FA7019">
        <w:t xml:space="preserve"> </w:t>
      </w:r>
      <w:r w:rsidR="00530426">
        <w:t xml:space="preserve">from </w:t>
      </w:r>
      <w:r w:rsidR="00A2407B">
        <w:t xml:space="preserve">the International Pharmaceutical Students Federation provides </w:t>
      </w:r>
      <w:r w:rsidR="00530426">
        <w:t xml:space="preserve">a framework and resources to run </w:t>
      </w:r>
      <w:r w:rsidR="00A2407B">
        <w:t>a medicines awareness campaign.</w:t>
      </w:r>
    </w:p>
    <w:p w14:paraId="24D2A1A6" w14:textId="77777777" w:rsidR="00693718" w:rsidRPr="00693718" w:rsidRDefault="00693718" w:rsidP="00693718">
      <w:pPr>
        <w:tabs>
          <w:tab w:val="left" w:pos="270"/>
        </w:tabs>
      </w:pPr>
    </w:p>
    <w:p w14:paraId="623EF7AD" w14:textId="77777777" w:rsidR="00BC5252" w:rsidRDefault="00BC5252" w:rsidP="00BC5252">
      <w:pPr>
        <w:rPr>
          <w:szCs w:val="24"/>
          <w:lang w:val="en"/>
        </w:rPr>
      </w:pPr>
      <w:r w:rsidRPr="00DE07C9">
        <w:rPr>
          <w:noProof/>
          <w:szCs w:val="24"/>
          <w:lang w:val="en-US"/>
        </w:rPr>
        <w:lastRenderedPageBreak/>
        <mc:AlternateContent>
          <mc:Choice Requires="wps">
            <w:drawing>
              <wp:anchor distT="0" distB="0" distL="114300" distR="114300" simplePos="0" relativeHeight="251679744" behindDoc="0" locked="0" layoutInCell="1" allowOverlap="1" wp14:anchorId="1A225B94" wp14:editId="33200C57">
                <wp:simplePos x="0" y="0"/>
                <wp:positionH relativeFrom="column">
                  <wp:align>center</wp:align>
                </wp:positionH>
                <wp:positionV relativeFrom="paragraph">
                  <wp:posOffset>0</wp:posOffset>
                </wp:positionV>
                <wp:extent cx="7824470" cy="370800"/>
                <wp:effectExtent l="0" t="0" r="508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4470" cy="370800"/>
                        </a:xfrm>
                        <a:prstGeom prst="rect">
                          <a:avLst/>
                        </a:prstGeom>
                        <a:solidFill>
                          <a:srgbClr val="980029"/>
                        </a:solidFill>
                        <a:ln w="9525">
                          <a:noFill/>
                          <a:miter lim="800000"/>
                          <a:headEnd/>
                          <a:tailEnd/>
                        </a:ln>
                      </wps:spPr>
                      <wps:txbx>
                        <w:txbxContent>
                          <w:p w14:paraId="3A4859EE" w14:textId="6B51C2B1" w:rsidR="00BC5252" w:rsidRPr="00DE07C9" w:rsidRDefault="00BC5252" w:rsidP="00BC5252">
                            <w:pPr>
                              <w:ind w:left="720"/>
                              <w:rPr>
                                <w:b/>
                                <w:color w:val="FFFFFF" w:themeColor="background1"/>
                                <w:sz w:val="32"/>
                                <w:szCs w:val="32"/>
                              </w:rPr>
                            </w:pPr>
                            <w:r>
                              <w:rPr>
                                <w:b/>
                                <w:color w:val="FFFFFF" w:themeColor="background1"/>
                                <w:sz w:val="32"/>
                                <w:szCs w:val="32"/>
                              </w:rPr>
                              <w:t>Training opportunities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225B94" id="_x0000_s1030" type="#_x0000_t202" style="position:absolute;margin-left:0;margin-top:0;width:616.1pt;height:29.2pt;z-index:2516797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" fillcolor="#980029" stroked="f">
                <v:textbox>
                  <w:txbxContent>
                    <w:p w14:paraId="3A4859EE" w14:textId="6B51C2B1" w:rsidR="00BC5252" w:rsidRPr="00DE07C9" w:rsidRDefault="00BC5252" w:rsidP="00BC5252">
                      <w:pPr>
                        <w:ind w:left="720"/>
                        <w:rPr>
                          <w:b/>
                          <w:color w:val="FFFFFF" w:themeColor="background1"/>
                          <w:sz w:val="32"/>
                          <w:szCs w:val="32"/>
                        </w:rPr>
                      </w:pPr>
                      <w:r>
                        <w:rPr>
                          <w:b/>
                          <w:color w:val="FFFFFF" w:themeColor="background1"/>
                          <w:sz w:val="32"/>
                          <w:szCs w:val="32"/>
                        </w:rPr>
                        <w:t>Training opportunities</w:t>
                      </w:r>
                    </w:p>
                  </w:txbxContent>
                </v:textbox>
              </v:shape>
            </w:pict>
          </mc:Fallback>
        </mc:AlternateContent>
      </w:r>
    </w:p>
    <w:p w14:paraId="24B0904D" w14:textId="77777777" w:rsidR="00BC5252" w:rsidRDefault="00BC5252" w:rsidP="00BC5252">
      <w:pPr>
        <w:rPr>
          <w:szCs w:val="24"/>
          <w:lang w:val="en"/>
        </w:rPr>
      </w:pPr>
    </w:p>
    <w:p w14:paraId="249C9565" w14:textId="77777777" w:rsidR="00BC5252" w:rsidRDefault="00BC5252" w:rsidP="00BC5252"/>
    <w:p w14:paraId="4DCC94DA" w14:textId="77777777" w:rsidR="000D3731" w:rsidRDefault="000D3731" w:rsidP="00BC5252">
      <w:pPr>
        <w:rPr>
          <w:b/>
        </w:rPr>
      </w:pPr>
      <w:r>
        <w:rPr>
          <w:b/>
        </w:rPr>
        <w:t>AMR and Infections</w:t>
      </w:r>
    </w:p>
    <w:p w14:paraId="5F6C992D" w14:textId="7231EE92" w:rsidR="00BC5252" w:rsidRDefault="000D3731" w:rsidP="00BC5252">
      <w:pPr>
        <w:rPr>
          <w:b/>
        </w:rPr>
      </w:pPr>
      <w:r>
        <w:t xml:space="preserve">This </w:t>
      </w:r>
      <w:hyperlink r:id="rId45" w:history="1">
        <w:r w:rsidR="00420FD1" w:rsidRPr="006B0B69">
          <w:rPr>
            <w:rStyle w:val="Hyperlink"/>
            <w:b/>
            <w:u w:val="single"/>
          </w:rPr>
          <w:t>programme</w:t>
        </w:r>
      </w:hyperlink>
      <w:r>
        <w:t xml:space="preserve"> was developed by Health Education England in collaboration with PHE, NHS England, NHS Improvement, Care Quality Commission and NICE. It supports all health and social care staff </w:t>
      </w:r>
      <w:r w:rsidR="004D6765">
        <w:t>t</w:t>
      </w:r>
      <w:r w:rsidRPr="004D6765">
        <w:t>o understand the threats posed by AMR and what they can</w:t>
      </w:r>
      <w:r w:rsidR="004D6765" w:rsidRPr="004D6765">
        <w:t xml:space="preserve"> do to help tackle this major health issue.</w:t>
      </w:r>
      <w:r w:rsidR="00A36C1C">
        <w:t xml:space="preserve"> </w:t>
      </w:r>
      <w:r w:rsidR="00BC5252">
        <w:t xml:space="preserve">It </w:t>
      </w:r>
      <w:r w:rsidR="00BC5252" w:rsidRPr="00756FA9">
        <w:t>includes an e-learning session</w:t>
      </w:r>
      <w:r w:rsidR="00BC5252">
        <w:t xml:space="preserve"> </w:t>
      </w:r>
      <w:r w:rsidR="00505861">
        <w:t xml:space="preserve">for all clinical and non-clinical staff </w:t>
      </w:r>
      <w:r w:rsidR="00BC5252">
        <w:t>and other resources to support awareness and education of clinical staff in different care settings.</w:t>
      </w:r>
    </w:p>
    <w:p w14:paraId="643D4802" w14:textId="77777777" w:rsidR="00BC5252" w:rsidRDefault="00BC5252" w:rsidP="00BC5252">
      <w:pPr>
        <w:rPr>
          <w:b/>
        </w:rPr>
      </w:pPr>
    </w:p>
    <w:p w14:paraId="1E006DD0" w14:textId="77777777" w:rsidR="00BC5252" w:rsidRPr="006B0B69" w:rsidRDefault="00BC5252" w:rsidP="00BC5252">
      <w:pPr>
        <w:rPr>
          <w:b/>
          <w:u w:color="0432FF"/>
        </w:rPr>
      </w:pPr>
      <w:r w:rsidRPr="006B0B69">
        <w:rPr>
          <w:b/>
          <w:u w:color="0432FF"/>
        </w:rPr>
        <w:t>Helping to Improve Understanding of AMR</w:t>
      </w:r>
    </w:p>
    <w:p w14:paraId="610FE81C" w14:textId="1661B0FD" w:rsidR="00BC5252" w:rsidRPr="00BC5252" w:rsidRDefault="00BC5252" w:rsidP="00BC5252">
      <w:pPr>
        <w:rPr>
          <w:b/>
        </w:rPr>
      </w:pPr>
      <w:r>
        <w:t xml:space="preserve">These </w:t>
      </w:r>
      <w:hyperlink r:id="rId46" w:history="1">
        <w:r w:rsidRPr="006B0B69">
          <w:rPr>
            <w:rStyle w:val="Hyperlink"/>
            <w:b/>
            <w:u w:val="single"/>
          </w:rPr>
          <w:t>resources</w:t>
        </w:r>
      </w:hyperlink>
      <w:r>
        <w:t xml:space="preserve"> from Health Education England are to </w:t>
      </w:r>
      <w:r w:rsidRPr="00865CF5">
        <w:rPr>
          <w:lang w:val="en-US"/>
        </w:rPr>
        <w:t xml:space="preserve">promote awareness of </w:t>
      </w:r>
      <w:r>
        <w:rPr>
          <w:lang w:val="en-US"/>
        </w:rPr>
        <w:t>AMR</w:t>
      </w:r>
      <w:r w:rsidRPr="00865CF5">
        <w:rPr>
          <w:lang w:val="en-US"/>
        </w:rPr>
        <w:t xml:space="preserve">, encourage those prescribing, dispensing and administrating antibiotics to do so responsibly and with an understanding of </w:t>
      </w:r>
      <w:r>
        <w:rPr>
          <w:lang w:val="en-US"/>
        </w:rPr>
        <w:t>AMR</w:t>
      </w:r>
      <w:r w:rsidRPr="00865CF5">
        <w:rPr>
          <w:lang w:val="en-US"/>
        </w:rPr>
        <w:t xml:space="preserve">, and ensure that it is included in the </w:t>
      </w:r>
      <w:r>
        <w:rPr>
          <w:lang w:val="en-US"/>
        </w:rPr>
        <w:t>prevention</w:t>
      </w:r>
      <w:r w:rsidRPr="00865CF5">
        <w:rPr>
          <w:lang w:val="en-US"/>
        </w:rPr>
        <w:t>, management and control of infection curricula for human medicine, nursing, pharmacy, dentistry and other professionals.</w:t>
      </w:r>
    </w:p>
    <w:p w14:paraId="02D2C16E" w14:textId="4EDEACD0" w:rsidR="00DB304E" w:rsidRDefault="00DB304E" w:rsidP="00DB304E">
      <w:pPr>
        <w:spacing w:after="240"/>
        <w:rPr>
          <w:b/>
          <w:color w:val="000000"/>
          <w:sz w:val="18"/>
          <w:szCs w:val="24"/>
        </w:rPr>
      </w:pPr>
    </w:p>
    <w:p w14:paraId="4F9884EC" w14:textId="29303803" w:rsidR="006B0B69" w:rsidRDefault="006B0B69" w:rsidP="00DB304E">
      <w:pPr>
        <w:spacing w:after="240"/>
        <w:rPr>
          <w:b/>
          <w:color w:val="000000"/>
          <w:sz w:val="18"/>
          <w:szCs w:val="24"/>
        </w:rPr>
      </w:pPr>
    </w:p>
    <w:p w14:paraId="39E1A29B" w14:textId="2027F425" w:rsidR="006B0B69" w:rsidRDefault="006B0B69" w:rsidP="00DB304E">
      <w:pPr>
        <w:spacing w:after="240"/>
        <w:rPr>
          <w:b/>
          <w:color w:val="000000"/>
          <w:sz w:val="18"/>
          <w:szCs w:val="24"/>
        </w:rPr>
      </w:pPr>
    </w:p>
    <w:p w14:paraId="37CDEF22" w14:textId="725BADF6" w:rsidR="006B0B69" w:rsidRDefault="006B0B69" w:rsidP="00DB304E">
      <w:pPr>
        <w:spacing w:after="240"/>
        <w:rPr>
          <w:b/>
          <w:color w:val="000000"/>
          <w:sz w:val="18"/>
          <w:szCs w:val="24"/>
        </w:rPr>
      </w:pPr>
    </w:p>
    <w:p w14:paraId="422DA290" w14:textId="6BC2533D" w:rsidR="006B0B69" w:rsidRDefault="006B0B69" w:rsidP="00DB304E">
      <w:pPr>
        <w:spacing w:after="240"/>
        <w:rPr>
          <w:b/>
          <w:color w:val="000000"/>
          <w:sz w:val="18"/>
          <w:szCs w:val="24"/>
        </w:rPr>
      </w:pPr>
    </w:p>
    <w:p w14:paraId="19003EB4" w14:textId="39723677" w:rsidR="006B0B69" w:rsidRDefault="006B0B69" w:rsidP="00DB304E">
      <w:pPr>
        <w:spacing w:after="240"/>
        <w:rPr>
          <w:b/>
          <w:color w:val="000000"/>
          <w:sz w:val="18"/>
          <w:szCs w:val="24"/>
        </w:rPr>
      </w:pPr>
    </w:p>
    <w:p w14:paraId="6DA03A1C" w14:textId="36E23DEE" w:rsidR="006B0B69" w:rsidRDefault="006B0B69" w:rsidP="00DB304E">
      <w:pPr>
        <w:spacing w:after="240"/>
        <w:rPr>
          <w:b/>
          <w:color w:val="000000"/>
          <w:sz w:val="18"/>
          <w:szCs w:val="24"/>
        </w:rPr>
      </w:pPr>
    </w:p>
    <w:p w14:paraId="5BC709ED" w14:textId="7DD4B78A" w:rsidR="006B0B69" w:rsidRPr="006A46BC" w:rsidRDefault="006B0B69" w:rsidP="00DB304E">
      <w:pPr>
        <w:spacing w:after="240"/>
        <w:rPr>
          <w:b/>
          <w:color w:val="000000"/>
          <w:sz w:val="18"/>
          <w:szCs w:val="24"/>
        </w:rPr>
      </w:pPr>
    </w:p>
    <w:p w14:paraId="6A535175" w14:textId="77777777" w:rsidR="00DB304E" w:rsidRDefault="00DB304E" w:rsidP="00DB304E">
      <w:pPr>
        <w:rPr>
          <w:szCs w:val="24"/>
          <w:lang w:val="en"/>
        </w:rPr>
      </w:pPr>
      <w:r w:rsidRPr="00DE07C9">
        <w:rPr>
          <w:noProof/>
          <w:szCs w:val="24"/>
          <w:lang w:val="en-US"/>
        </w:rPr>
        <mc:AlternateContent>
          <mc:Choice Requires="wps">
            <w:drawing>
              <wp:anchor distT="0" distB="0" distL="114300" distR="114300" simplePos="0" relativeHeight="251677696" behindDoc="0" locked="0" layoutInCell="1" allowOverlap="1" wp14:anchorId="6BD1593D" wp14:editId="59596535">
                <wp:simplePos x="0" y="0"/>
                <wp:positionH relativeFrom="column">
                  <wp:align>center</wp:align>
                </wp:positionH>
                <wp:positionV relativeFrom="paragraph">
                  <wp:posOffset>0</wp:posOffset>
                </wp:positionV>
                <wp:extent cx="7824470" cy="370800"/>
                <wp:effectExtent l="0" t="0" r="508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4470" cy="370800"/>
                        </a:xfrm>
                        <a:prstGeom prst="rect">
                          <a:avLst/>
                        </a:prstGeom>
                        <a:solidFill>
                          <a:srgbClr val="980029"/>
                        </a:solidFill>
                        <a:ln w="9525">
                          <a:noFill/>
                          <a:miter lim="800000"/>
                          <a:headEnd/>
                          <a:tailEnd/>
                        </a:ln>
                      </wps:spPr>
                      <wps:txbx>
                        <w:txbxContent>
                          <w:p w14:paraId="6DEB9D4F" w14:textId="0919FB0D" w:rsidR="00DB304E" w:rsidRPr="00DE07C9" w:rsidRDefault="00DB304E" w:rsidP="00DB304E">
                            <w:pPr>
                              <w:ind w:left="720"/>
                              <w:rPr>
                                <w:b/>
                                <w:color w:val="FFFFFF" w:themeColor="background1"/>
                                <w:sz w:val="32"/>
                                <w:szCs w:val="32"/>
                              </w:rPr>
                            </w:pPr>
                            <w:r>
                              <w:rPr>
                                <w:b/>
                                <w:color w:val="FFFFFF" w:themeColor="background1"/>
                                <w:sz w:val="32"/>
                                <w:szCs w:val="32"/>
                              </w:rPr>
                              <w:t xml:space="preserve">   References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D1593D" id="_x0000_s1031" type="#_x0000_t202" style="position:absolute;margin-left:0;margin-top:0;width:616.1pt;height:29.2pt;z-index:2516776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" fillcolor="#980029" stroked="f">
                <v:textbox>
                  <w:txbxContent>
                    <w:p w14:paraId="6DEB9D4F" w14:textId="0919FB0D" w:rsidR="00DB304E" w:rsidRPr="00DE07C9" w:rsidRDefault="00DB304E" w:rsidP="00DB304E">
                      <w:pPr>
                        <w:ind w:left="720"/>
                        <w:rPr>
                          <w:b/>
                          <w:color w:val="FFFFFF" w:themeColor="background1"/>
                          <w:sz w:val="32"/>
                          <w:szCs w:val="32"/>
                        </w:rPr>
                      </w:pPr>
                      <w:r>
                        <w:rPr>
                          <w:b/>
                          <w:color w:val="FFFFFF" w:themeColor="background1"/>
                          <w:sz w:val="32"/>
                          <w:szCs w:val="32"/>
                        </w:rPr>
                        <w:t xml:space="preserve">   References</w:t>
                      </w:r>
                    </w:p>
                  </w:txbxContent>
                </v:textbox>
              </v:shape>
            </w:pict>
          </mc:Fallback>
        </mc:AlternateContent>
      </w:r>
    </w:p>
    <w:p w14:paraId="1968E4B2" w14:textId="77777777" w:rsidR="00DB304E" w:rsidRDefault="00DB304E" w:rsidP="00DB304E">
      <w:pPr>
        <w:rPr>
          <w:szCs w:val="24"/>
          <w:lang w:val="en"/>
        </w:rPr>
      </w:pPr>
    </w:p>
    <w:p w14:paraId="681A41C6" w14:textId="77777777" w:rsidR="00DB304E" w:rsidRDefault="00DB304E" w:rsidP="00DB304E"/>
    <w:p w14:paraId="75479828" w14:textId="77777777" w:rsidR="00134315" w:rsidRPr="007F25C2" w:rsidRDefault="00134315" w:rsidP="00DB304E"/>
    <w:p w14:paraId="63371268" w14:textId="77777777" w:rsidR="0060275D" w:rsidRPr="006B0B69" w:rsidRDefault="0060275D" w:rsidP="0060275D">
      <w:pPr>
        <w:pStyle w:val="ListParagraph"/>
        <w:numPr>
          <w:ilvl w:val="0"/>
          <w:numId w:val="3"/>
        </w:numPr>
        <w:rPr>
          <w:color w:val="7F7F7F" w:themeColor="text1" w:themeTint="80"/>
          <w:sz w:val="20"/>
          <w:lang w:val="en-US"/>
        </w:rPr>
      </w:pPr>
      <w:r w:rsidRPr="006B0B69">
        <w:rPr>
          <w:color w:val="7F7F7F" w:themeColor="text1" w:themeTint="80"/>
          <w:sz w:val="20"/>
          <w:lang w:val="en-US"/>
        </w:rPr>
        <w:t xml:space="preserve">DEFRA, DHSC, PHE, VMD. </w:t>
      </w:r>
      <w:r w:rsidRPr="006B0B69">
        <w:rPr>
          <w:i/>
          <w:color w:val="7F7F7F" w:themeColor="text1" w:themeTint="80"/>
          <w:sz w:val="20"/>
          <w:lang w:val="en-US"/>
        </w:rPr>
        <w:t>Antimicrobial resistance (AMR).</w:t>
      </w:r>
      <w:r w:rsidRPr="006B0B69">
        <w:rPr>
          <w:color w:val="7F7F7F" w:themeColor="text1" w:themeTint="80"/>
          <w:sz w:val="20"/>
          <w:lang w:val="en-US"/>
        </w:rPr>
        <w:t xml:space="preserve"> March 2019. </w:t>
      </w:r>
      <w:hyperlink r:id="rId47" w:history="1">
        <w:r w:rsidRPr="006B0B69">
          <w:rPr>
            <w:rStyle w:val="Hyperlink"/>
            <w:color w:val="7F7F7F" w:themeColor="text1" w:themeTint="80"/>
            <w:sz w:val="20"/>
          </w:rPr>
          <w:t>https://www.gov.uk/government/collections/antimicrobial-resistance-amr-information-and-resources</w:t>
        </w:r>
      </w:hyperlink>
      <w:r w:rsidRPr="006B0B69">
        <w:rPr>
          <w:color w:val="7F7F7F" w:themeColor="text1" w:themeTint="80"/>
          <w:sz w:val="20"/>
          <w:lang w:val="en-US"/>
        </w:rPr>
        <w:t xml:space="preserve"> (accessed 26.07.19).</w:t>
      </w:r>
    </w:p>
    <w:p w14:paraId="52CA06F5" w14:textId="77777777" w:rsidR="0060275D" w:rsidRPr="006B0B69" w:rsidRDefault="0060275D" w:rsidP="0060275D">
      <w:pPr>
        <w:pStyle w:val="ListParagraph"/>
        <w:numPr>
          <w:ilvl w:val="0"/>
          <w:numId w:val="3"/>
        </w:numPr>
        <w:rPr>
          <w:color w:val="7F7F7F" w:themeColor="text1" w:themeTint="80"/>
          <w:sz w:val="20"/>
          <w:lang w:val="en-US"/>
        </w:rPr>
      </w:pPr>
      <w:r w:rsidRPr="006B0B69">
        <w:rPr>
          <w:color w:val="7F7F7F" w:themeColor="text1" w:themeTint="80"/>
          <w:sz w:val="20"/>
          <w:lang w:val="en-US"/>
        </w:rPr>
        <w:t xml:space="preserve">Review on Antimicrobial Resistance. </w:t>
      </w:r>
      <w:r w:rsidRPr="006B0B69">
        <w:rPr>
          <w:i/>
          <w:color w:val="7F7F7F" w:themeColor="text1" w:themeTint="80"/>
          <w:sz w:val="20"/>
          <w:lang w:val="en-US"/>
        </w:rPr>
        <w:t>Antimicrobial Resistance: Tackling a Crisis for the Future Health and Wealth of Nations.</w:t>
      </w:r>
      <w:r w:rsidRPr="006B0B69">
        <w:rPr>
          <w:color w:val="7F7F7F" w:themeColor="text1" w:themeTint="80"/>
          <w:sz w:val="20"/>
          <w:lang w:val="en-US"/>
        </w:rPr>
        <w:t xml:space="preserve"> December 2014. </w:t>
      </w:r>
      <w:hyperlink r:id="rId48" w:history="1">
        <w:r w:rsidRPr="006B0B69">
          <w:rPr>
            <w:rStyle w:val="Hyperlink"/>
            <w:color w:val="7F7F7F" w:themeColor="text1" w:themeTint="80"/>
            <w:sz w:val="20"/>
            <w:lang w:val="en-US"/>
          </w:rPr>
          <w:t>https://amr-review.org/sites/default/files/AMR%20Review%20Paper%20-%20Tackling%20a%20crisis%20for%20the%20health%20and%20wealth%20of%20nations_1.pdf</w:t>
        </w:r>
      </w:hyperlink>
      <w:r w:rsidRPr="006B0B69">
        <w:rPr>
          <w:color w:val="7F7F7F" w:themeColor="text1" w:themeTint="80"/>
          <w:sz w:val="20"/>
          <w:lang w:val="en-US"/>
        </w:rPr>
        <w:t xml:space="preserve"> (accessed 26.07.19).</w:t>
      </w:r>
    </w:p>
    <w:p w14:paraId="2B79C36A" w14:textId="77777777" w:rsidR="0060275D" w:rsidRPr="006B0B69" w:rsidRDefault="0060275D" w:rsidP="0060275D">
      <w:pPr>
        <w:pStyle w:val="ListParagraph"/>
        <w:numPr>
          <w:ilvl w:val="0"/>
          <w:numId w:val="3"/>
        </w:numPr>
        <w:rPr>
          <w:color w:val="7F7F7F" w:themeColor="text1" w:themeTint="80"/>
          <w:sz w:val="20"/>
          <w:lang w:val="en-US"/>
        </w:rPr>
      </w:pPr>
      <w:r w:rsidRPr="006B0B69">
        <w:rPr>
          <w:color w:val="7F7F7F" w:themeColor="text1" w:themeTint="80"/>
          <w:sz w:val="20"/>
          <w:lang w:val="en-US"/>
        </w:rPr>
        <w:t xml:space="preserve">WHO. </w:t>
      </w:r>
      <w:r w:rsidRPr="006B0B69">
        <w:rPr>
          <w:i/>
          <w:color w:val="7F7F7F" w:themeColor="text1" w:themeTint="80"/>
          <w:sz w:val="20"/>
          <w:lang w:val="en-US"/>
        </w:rPr>
        <w:t>Global action plan on antimicrobial resistance.</w:t>
      </w:r>
      <w:r w:rsidRPr="006B0B69">
        <w:rPr>
          <w:color w:val="7F7F7F" w:themeColor="text1" w:themeTint="80"/>
          <w:sz w:val="20"/>
          <w:lang w:val="en-US"/>
        </w:rPr>
        <w:t xml:space="preserve"> 2015. </w:t>
      </w:r>
      <w:hyperlink r:id="rId49" w:history="1">
        <w:r w:rsidRPr="006B0B69">
          <w:rPr>
            <w:rStyle w:val="Hyperlink"/>
            <w:color w:val="7F7F7F" w:themeColor="text1" w:themeTint="80"/>
            <w:sz w:val="20"/>
            <w:lang w:val="en-US"/>
          </w:rPr>
          <w:t>https://www.who.int/antimicrobial-resistance/publications/global-action-plan/en/</w:t>
        </w:r>
      </w:hyperlink>
      <w:r w:rsidRPr="006B0B69">
        <w:rPr>
          <w:color w:val="7F7F7F" w:themeColor="text1" w:themeTint="80"/>
          <w:sz w:val="20"/>
          <w:lang w:val="en-US"/>
        </w:rPr>
        <w:t xml:space="preserve"> (accessed 26.07.19).</w:t>
      </w:r>
    </w:p>
    <w:p w14:paraId="794A8E40" w14:textId="77777777" w:rsidR="0060275D" w:rsidRPr="006B0B69" w:rsidRDefault="0060275D" w:rsidP="0060275D">
      <w:pPr>
        <w:pStyle w:val="ListParagraph"/>
        <w:numPr>
          <w:ilvl w:val="0"/>
          <w:numId w:val="3"/>
        </w:numPr>
        <w:rPr>
          <w:color w:val="7F7F7F" w:themeColor="text1" w:themeTint="80"/>
          <w:sz w:val="20"/>
          <w:lang w:val="en-US"/>
        </w:rPr>
      </w:pPr>
      <w:r w:rsidRPr="006B0B69">
        <w:rPr>
          <w:color w:val="7F7F7F" w:themeColor="text1" w:themeTint="80"/>
          <w:sz w:val="20"/>
          <w:lang w:val="en-US"/>
        </w:rPr>
        <w:t xml:space="preserve">European Commission. </w:t>
      </w:r>
      <w:r w:rsidRPr="006B0B69">
        <w:rPr>
          <w:i/>
          <w:color w:val="7F7F7F" w:themeColor="text1" w:themeTint="80"/>
          <w:sz w:val="20"/>
          <w:lang w:val="en-US"/>
        </w:rPr>
        <w:t xml:space="preserve">A European One Health Action Plan against Antimicrobial Resistance (AMR). </w:t>
      </w:r>
      <w:r w:rsidRPr="006B0B69">
        <w:rPr>
          <w:color w:val="7F7F7F" w:themeColor="text1" w:themeTint="80"/>
          <w:sz w:val="20"/>
          <w:lang w:val="en-US"/>
        </w:rPr>
        <w:t xml:space="preserve">2017. </w:t>
      </w:r>
      <w:hyperlink r:id="rId50" w:history="1">
        <w:r w:rsidRPr="006B0B69">
          <w:rPr>
            <w:rStyle w:val="Hyperlink"/>
            <w:color w:val="7F7F7F" w:themeColor="text1" w:themeTint="80"/>
            <w:sz w:val="20"/>
            <w:lang w:val="en-US"/>
          </w:rPr>
          <w:t>https://ec.europa.eu/health/amr/sites/amr/files/amr_action_plan_2017_en.pdf</w:t>
        </w:r>
      </w:hyperlink>
      <w:r w:rsidRPr="006B0B69">
        <w:rPr>
          <w:color w:val="7F7F7F" w:themeColor="text1" w:themeTint="80"/>
          <w:sz w:val="20"/>
          <w:lang w:val="en-US"/>
        </w:rPr>
        <w:t xml:space="preserve"> (accessed 26.07.19).</w:t>
      </w:r>
    </w:p>
    <w:p w14:paraId="3C4017CC" w14:textId="77777777" w:rsidR="0060275D" w:rsidRPr="006B0B69" w:rsidRDefault="0060275D" w:rsidP="0060275D">
      <w:pPr>
        <w:pStyle w:val="ListParagraph"/>
        <w:numPr>
          <w:ilvl w:val="0"/>
          <w:numId w:val="3"/>
        </w:numPr>
        <w:rPr>
          <w:color w:val="7F7F7F" w:themeColor="text1" w:themeTint="80"/>
          <w:sz w:val="20"/>
          <w:lang w:val="en-US"/>
        </w:rPr>
      </w:pPr>
      <w:r w:rsidRPr="006B0B69">
        <w:rPr>
          <w:color w:val="7F7F7F" w:themeColor="text1" w:themeTint="80"/>
          <w:sz w:val="20"/>
          <w:lang w:val="en-US"/>
        </w:rPr>
        <w:t xml:space="preserve">DHSC. </w:t>
      </w:r>
      <w:r w:rsidRPr="006B0B69">
        <w:rPr>
          <w:i/>
          <w:color w:val="7F7F7F" w:themeColor="text1" w:themeTint="80"/>
          <w:sz w:val="20"/>
          <w:lang w:val="en-US"/>
        </w:rPr>
        <w:t>UK 5 Year Antimicrobial Resistance Strategy 2013 to 2018.</w:t>
      </w:r>
      <w:r w:rsidRPr="006B0B69">
        <w:rPr>
          <w:color w:val="7F7F7F" w:themeColor="text1" w:themeTint="80"/>
          <w:sz w:val="20"/>
          <w:lang w:val="en-US"/>
        </w:rPr>
        <w:t xml:space="preserve"> November 2013. </w:t>
      </w:r>
      <w:hyperlink r:id="rId51" w:history="1">
        <w:r w:rsidRPr="006B0B69">
          <w:rPr>
            <w:rStyle w:val="Hyperlink"/>
            <w:color w:val="7F7F7F" w:themeColor="text1" w:themeTint="80"/>
            <w:sz w:val="20"/>
            <w:lang w:val="en-US"/>
          </w:rPr>
          <w:t>https://www.gov.uk/government/publications/uk-5-year-antimicrobial-resistance-strategy-2013-to-2018</w:t>
        </w:r>
      </w:hyperlink>
      <w:r w:rsidRPr="006B0B69">
        <w:rPr>
          <w:color w:val="7F7F7F" w:themeColor="text1" w:themeTint="80"/>
          <w:sz w:val="20"/>
          <w:lang w:val="en-US"/>
        </w:rPr>
        <w:t xml:space="preserve"> (accessed 26.07.19).</w:t>
      </w:r>
    </w:p>
    <w:p w14:paraId="01DDD257" w14:textId="674A1826" w:rsidR="0060275D" w:rsidRPr="006B0B69" w:rsidRDefault="008E6019" w:rsidP="0060275D">
      <w:pPr>
        <w:pStyle w:val="ListParagraph"/>
        <w:numPr>
          <w:ilvl w:val="0"/>
          <w:numId w:val="3"/>
        </w:numPr>
        <w:rPr>
          <w:i/>
          <w:color w:val="7F7F7F" w:themeColor="text1" w:themeTint="80"/>
          <w:sz w:val="20"/>
          <w:lang w:val="en-US"/>
        </w:rPr>
      </w:pPr>
      <w:r w:rsidRPr="006B0B69">
        <w:rPr>
          <w:color w:val="7F7F7F" w:themeColor="text1" w:themeTint="80"/>
          <w:sz w:val="20"/>
          <w:lang w:val="en-US"/>
        </w:rPr>
        <w:t xml:space="preserve">PHE. </w:t>
      </w:r>
      <w:r w:rsidRPr="006B0B69">
        <w:rPr>
          <w:i/>
          <w:color w:val="7F7F7F" w:themeColor="text1" w:themeTint="80"/>
          <w:sz w:val="20"/>
          <w:lang w:val="en-US"/>
        </w:rPr>
        <w:t>HCAI Data Capture System.</w:t>
      </w:r>
      <w:r w:rsidR="0060275D" w:rsidRPr="006B0B69">
        <w:rPr>
          <w:color w:val="7F7F7F" w:themeColor="text1" w:themeTint="80"/>
          <w:sz w:val="20"/>
          <w:lang w:val="en-US"/>
        </w:rPr>
        <w:t xml:space="preserve"> (accessed 19.07.19).</w:t>
      </w:r>
    </w:p>
    <w:p w14:paraId="2243DF0C" w14:textId="77777777" w:rsidR="0060275D" w:rsidRPr="006B0B69" w:rsidRDefault="0060275D" w:rsidP="0060275D">
      <w:pPr>
        <w:pStyle w:val="ListParagraph"/>
        <w:numPr>
          <w:ilvl w:val="0"/>
          <w:numId w:val="3"/>
        </w:numPr>
        <w:rPr>
          <w:i/>
          <w:color w:val="7F7F7F" w:themeColor="text1" w:themeTint="80"/>
          <w:sz w:val="20"/>
          <w:lang w:val="en-US"/>
        </w:rPr>
      </w:pPr>
      <w:r w:rsidRPr="006B0B69">
        <w:rPr>
          <w:color w:val="7F7F7F" w:themeColor="text1" w:themeTint="80"/>
          <w:sz w:val="20"/>
          <w:lang w:val="en-US"/>
        </w:rPr>
        <w:t>DHSC.</w:t>
      </w:r>
      <w:r w:rsidRPr="006B0B69">
        <w:rPr>
          <w:i/>
          <w:color w:val="7F7F7F" w:themeColor="text1" w:themeTint="80"/>
          <w:sz w:val="20"/>
          <w:lang w:val="en-US"/>
        </w:rPr>
        <w:t xml:space="preserve"> UK 5-year action plan for antimicrobial resistance 2019 to 2024. </w:t>
      </w:r>
      <w:r w:rsidRPr="006B0B69">
        <w:rPr>
          <w:color w:val="7F7F7F" w:themeColor="text1" w:themeTint="80"/>
          <w:sz w:val="20"/>
          <w:lang w:val="en-US"/>
        </w:rPr>
        <w:t xml:space="preserve">January 2019. </w:t>
      </w:r>
      <w:hyperlink r:id="rId52" w:history="1">
        <w:r w:rsidRPr="006B0B69">
          <w:rPr>
            <w:rStyle w:val="Hyperlink"/>
            <w:color w:val="7F7F7F" w:themeColor="text1" w:themeTint="80"/>
            <w:sz w:val="20"/>
            <w:lang w:val="en-US"/>
          </w:rPr>
          <w:t>https://www.gov.uk/government/publications/uk-5-year-action-plan-for-antimicrobial-resistance-2019-to-2024</w:t>
        </w:r>
      </w:hyperlink>
      <w:r w:rsidRPr="006B0B69">
        <w:rPr>
          <w:color w:val="7F7F7F" w:themeColor="text1" w:themeTint="80"/>
          <w:sz w:val="20"/>
          <w:lang w:val="en-US"/>
        </w:rPr>
        <w:t xml:space="preserve"> (accessed 26.07.19).</w:t>
      </w:r>
    </w:p>
    <w:p w14:paraId="3B536650" w14:textId="737AB169" w:rsidR="00052952" w:rsidRPr="006B0B69" w:rsidRDefault="0060275D" w:rsidP="003D6C4E">
      <w:pPr>
        <w:pStyle w:val="ListParagraph"/>
        <w:numPr>
          <w:ilvl w:val="0"/>
          <w:numId w:val="3"/>
        </w:numPr>
        <w:rPr>
          <w:i/>
          <w:color w:val="7F7F7F" w:themeColor="text1" w:themeTint="80"/>
          <w:lang w:val="en-US"/>
        </w:rPr>
      </w:pPr>
      <w:r w:rsidRPr="006B0B69">
        <w:rPr>
          <w:color w:val="7F7F7F" w:themeColor="text1" w:themeTint="80"/>
          <w:sz w:val="20"/>
          <w:lang w:val="en-US"/>
        </w:rPr>
        <w:t xml:space="preserve">DHSC. </w:t>
      </w:r>
      <w:r w:rsidRPr="006B0B69">
        <w:rPr>
          <w:i/>
          <w:color w:val="7F7F7F" w:themeColor="text1" w:themeTint="80"/>
          <w:sz w:val="20"/>
          <w:lang w:val="en-US"/>
        </w:rPr>
        <w:t>UK 20-year vision for antimicrobial resistance.</w:t>
      </w:r>
      <w:r w:rsidRPr="006B0B69">
        <w:rPr>
          <w:color w:val="7F7F7F" w:themeColor="text1" w:themeTint="80"/>
          <w:sz w:val="20"/>
          <w:lang w:val="en-US"/>
        </w:rPr>
        <w:t xml:space="preserve"> January 2019. </w:t>
      </w:r>
      <w:hyperlink r:id="rId53" w:history="1">
        <w:r w:rsidRPr="006B0B69">
          <w:rPr>
            <w:rStyle w:val="Hyperlink"/>
            <w:color w:val="7F7F7F" w:themeColor="text1" w:themeTint="80"/>
            <w:sz w:val="20"/>
            <w:lang w:val="en-US"/>
          </w:rPr>
          <w:t>https://www.gov.uk/government/publications/uk-20-year-vision-for-antimicrobial-resistance</w:t>
        </w:r>
      </w:hyperlink>
      <w:r w:rsidRPr="006B0B69">
        <w:rPr>
          <w:color w:val="7F7F7F" w:themeColor="text1" w:themeTint="80"/>
          <w:sz w:val="20"/>
          <w:lang w:val="en-US"/>
        </w:rPr>
        <w:t xml:space="preserve"> (accessed 26.07.19).</w:t>
      </w:r>
      <w:bookmarkStart w:id="0" w:name="_GoBack"/>
      <w:bookmarkEnd w:id="0"/>
    </w:p>
    <w:p w14:paraId="0988E880" w14:textId="74399883" w:rsidR="00052952" w:rsidRPr="00052952" w:rsidRDefault="00052952" w:rsidP="00052952">
      <w:pPr>
        <w:rPr>
          <w:i/>
          <w:color w:val="7F7F7F" w:themeColor="text1" w:themeTint="80"/>
          <w:lang w:val="en-US"/>
        </w:rPr>
      </w:pPr>
    </w:p>
    <w:sectPr w:rsidR="00052952" w:rsidRPr="00052952" w:rsidSect="009E09E2">
      <w:footerReference w:type="default" r:id="rId54"/>
      <w:pgSz w:w="11906" w:h="16838"/>
      <w:pgMar w:top="1440" w:right="849" w:bottom="709" w:left="851" w:header="708" w:footer="1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FD797" w14:textId="77777777" w:rsidR="007C516E" w:rsidRDefault="007C516E" w:rsidP="009E09E2">
      <w:r>
        <w:separator/>
      </w:r>
    </w:p>
  </w:endnote>
  <w:endnote w:type="continuationSeparator" w:id="0">
    <w:p w14:paraId="7F533153" w14:textId="77777777" w:rsidR="007C516E" w:rsidRDefault="007C516E" w:rsidP="009E0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8954896"/>
      <w:docPartObj>
        <w:docPartGallery w:val="Page Numbers (Bottom of Page)"/>
        <w:docPartUnique/>
      </w:docPartObj>
    </w:sdtPr>
    <w:sdtEndPr/>
    <w:sdtContent>
      <w:sdt>
        <w:sdtPr>
          <w:id w:val="-1203400079"/>
          <w:docPartObj>
            <w:docPartGallery w:val="Page Numbers (Top of Page)"/>
            <w:docPartUnique/>
          </w:docPartObj>
        </w:sdtPr>
        <w:sdtEndPr/>
        <w:sdtContent>
          <w:p w14:paraId="4C0B1DB9" w14:textId="097A0CF7" w:rsidR="009E09E2" w:rsidRDefault="009E09E2">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6A4202">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6A4202">
              <w:rPr>
                <w:b/>
                <w:bCs/>
                <w:noProof/>
              </w:rPr>
              <w:t>6</w:t>
            </w:r>
            <w:r>
              <w:rPr>
                <w:b/>
                <w:bCs/>
                <w:szCs w:val="24"/>
              </w:rPr>
              <w:fldChar w:fldCharType="end"/>
            </w:r>
          </w:p>
        </w:sdtContent>
      </w:sdt>
    </w:sdtContent>
  </w:sdt>
  <w:p w14:paraId="6180331F" w14:textId="77777777" w:rsidR="009E09E2" w:rsidRDefault="009E09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DEEF1" w14:textId="77777777" w:rsidR="007C516E" w:rsidRDefault="007C516E" w:rsidP="009E09E2">
      <w:r>
        <w:separator/>
      </w:r>
    </w:p>
  </w:footnote>
  <w:footnote w:type="continuationSeparator" w:id="0">
    <w:p w14:paraId="5E575443" w14:textId="77777777" w:rsidR="007C516E" w:rsidRDefault="007C516E" w:rsidP="009E09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0FCD2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0B0B4B"/>
    <w:multiLevelType w:val="hybridMultilevel"/>
    <w:tmpl w:val="C8806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54252B"/>
    <w:multiLevelType w:val="hybridMultilevel"/>
    <w:tmpl w:val="519C4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170AB2"/>
    <w:multiLevelType w:val="hybridMultilevel"/>
    <w:tmpl w:val="77243EB4"/>
    <w:lvl w:ilvl="0" w:tplc="771602E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555292"/>
    <w:multiLevelType w:val="hybridMultilevel"/>
    <w:tmpl w:val="0AC22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A17038"/>
    <w:multiLevelType w:val="hybridMultilevel"/>
    <w:tmpl w:val="7F4E3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D5469A"/>
    <w:multiLevelType w:val="multilevel"/>
    <w:tmpl w:val="8DD48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B8E6DE9"/>
    <w:multiLevelType w:val="hybridMultilevel"/>
    <w:tmpl w:val="C8806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D1597F"/>
    <w:multiLevelType w:val="hybridMultilevel"/>
    <w:tmpl w:val="3EACB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2"/>
  </w:num>
  <w:num w:numId="5">
    <w:abstractNumId w:val="1"/>
  </w:num>
  <w:num w:numId="6">
    <w:abstractNumId w:val="7"/>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9E2"/>
    <w:rsid w:val="000073B8"/>
    <w:rsid w:val="000144B6"/>
    <w:rsid w:val="00014CDB"/>
    <w:rsid w:val="00025257"/>
    <w:rsid w:val="00026841"/>
    <w:rsid w:val="0004157E"/>
    <w:rsid w:val="00044157"/>
    <w:rsid w:val="00052952"/>
    <w:rsid w:val="00055E6E"/>
    <w:rsid w:val="0005698B"/>
    <w:rsid w:val="00070C92"/>
    <w:rsid w:val="00072E82"/>
    <w:rsid w:val="0008304F"/>
    <w:rsid w:val="00090BBE"/>
    <w:rsid w:val="000939F3"/>
    <w:rsid w:val="00097743"/>
    <w:rsid w:val="000A1493"/>
    <w:rsid w:val="000B135D"/>
    <w:rsid w:val="000B57AB"/>
    <w:rsid w:val="000B673A"/>
    <w:rsid w:val="000C0C8C"/>
    <w:rsid w:val="000C3241"/>
    <w:rsid w:val="000D3731"/>
    <w:rsid w:val="000D74A2"/>
    <w:rsid w:val="000E19B2"/>
    <w:rsid w:val="000E2A7D"/>
    <w:rsid w:val="000F1432"/>
    <w:rsid w:val="000F194D"/>
    <w:rsid w:val="000F382D"/>
    <w:rsid w:val="000F424D"/>
    <w:rsid w:val="000F57D2"/>
    <w:rsid w:val="001000ED"/>
    <w:rsid w:val="001016A7"/>
    <w:rsid w:val="00103132"/>
    <w:rsid w:val="00123C63"/>
    <w:rsid w:val="0012412C"/>
    <w:rsid w:val="00127E4C"/>
    <w:rsid w:val="0013208D"/>
    <w:rsid w:val="00134315"/>
    <w:rsid w:val="00134F36"/>
    <w:rsid w:val="00135107"/>
    <w:rsid w:val="00146DE3"/>
    <w:rsid w:val="00147F35"/>
    <w:rsid w:val="001512F4"/>
    <w:rsid w:val="0016276C"/>
    <w:rsid w:val="001840C7"/>
    <w:rsid w:val="001863F5"/>
    <w:rsid w:val="0018781D"/>
    <w:rsid w:val="00194422"/>
    <w:rsid w:val="00195531"/>
    <w:rsid w:val="001A2F21"/>
    <w:rsid w:val="001A775F"/>
    <w:rsid w:val="001B6845"/>
    <w:rsid w:val="001C3DA1"/>
    <w:rsid w:val="001C5AAD"/>
    <w:rsid w:val="001D5440"/>
    <w:rsid w:val="001E7542"/>
    <w:rsid w:val="001F6F57"/>
    <w:rsid w:val="0020016D"/>
    <w:rsid w:val="0020533C"/>
    <w:rsid w:val="002148B1"/>
    <w:rsid w:val="002174DE"/>
    <w:rsid w:val="002226B6"/>
    <w:rsid w:val="00224BBB"/>
    <w:rsid w:val="00230889"/>
    <w:rsid w:val="00234463"/>
    <w:rsid w:val="0023671D"/>
    <w:rsid w:val="002476F6"/>
    <w:rsid w:val="00256034"/>
    <w:rsid w:val="002610C9"/>
    <w:rsid w:val="00264B9C"/>
    <w:rsid w:val="002673B9"/>
    <w:rsid w:val="00271695"/>
    <w:rsid w:val="00274426"/>
    <w:rsid w:val="00276D17"/>
    <w:rsid w:val="00280A4C"/>
    <w:rsid w:val="00281DC6"/>
    <w:rsid w:val="002838D7"/>
    <w:rsid w:val="002857C0"/>
    <w:rsid w:val="00293549"/>
    <w:rsid w:val="00293587"/>
    <w:rsid w:val="00296E66"/>
    <w:rsid w:val="002A22EF"/>
    <w:rsid w:val="002A387A"/>
    <w:rsid w:val="002A41A5"/>
    <w:rsid w:val="002B50BA"/>
    <w:rsid w:val="002B65E0"/>
    <w:rsid w:val="002D0C48"/>
    <w:rsid w:val="002D440E"/>
    <w:rsid w:val="002D4BDB"/>
    <w:rsid w:val="002F057D"/>
    <w:rsid w:val="002F5072"/>
    <w:rsid w:val="00301EA5"/>
    <w:rsid w:val="00303D71"/>
    <w:rsid w:val="0031712C"/>
    <w:rsid w:val="003212C5"/>
    <w:rsid w:val="00322735"/>
    <w:rsid w:val="00324084"/>
    <w:rsid w:val="0032487D"/>
    <w:rsid w:val="0032577F"/>
    <w:rsid w:val="00327F00"/>
    <w:rsid w:val="003312BB"/>
    <w:rsid w:val="00354A19"/>
    <w:rsid w:val="003561EB"/>
    <w:rsid w:val="00357C29"/>
    <w:rsid w:val="00366CF5"/>
    <w:rsid w:val="00372934"/>
    <w:rsid w:val="003932AF"/>
    <w:rsid w:val="0039515B"/>
    <w:rsid w:val="00395A6F"/>
    <w:rsid w:val="00396C6C"/>
    <w:rsid w:val="003A2428"/>
    <w:rsid w:val="003C5DA1"/>
    <w:rsid w:val="003D394A"/>
    <w:rsid w:val="003E0502"/>
    <w:rsid w:val="003E1931"/>
    <w:rsid w:val="003E6D84"/>
    <w:rsid w:val="003F22AF"/>
    <w:rsid w:val="003F468D"/>
    <w:rsid w:val="003F5313"/>
    <w:rsid w:val="003F7604"/>
    <w:rsid w:val="0040406D"/>
    <w:rsid w:val="00407004"/>
    <w:rsid w:val="0041385C"/>
    <w:rsid w:val="00414861"/>
    <w:rsid w:val="00420FD1"/>
    <w:rsid w:val="00427237"/>
    <w:rsid w:val="004273F8"/>
    <w:rsid w:val="004300E8"/>
    <w:rsid w:val="00430681"/>
    <w:rsid w:val="00432E4E"/>
    <w:rsid w:val="00440FFB"/>
    <w:rsid w:val="00443596"/>
    <w:rsid w:val="004501CC"/>
    <w:rsid w:val="00453C8A"/>
    <w:rsid w:val="00476CF2"/>
    <w:rsid w:val="00477016"/>
    <w:rsid w:val="0048321A"/>
    <w:rsid w:val="004902BF"/>
    <w:rsid w:val="0049260D"/>
    <w:rsid w:val="00497897"/>
    <w:rsid w:val="004A31F1"/>
    <w:rsid w:val="004A341D"/>
    <w:rsid w:val="004A444D"/>
    <w:rsid w:val="004A75DF"/>
    <w:rsid w:val="004B3826"/>
    <w:rsid w:val="004B48A5"/>
    <w:rsid w:val="004C4620"/>
    <w:rsid w:val="004C6040"/>
    <w:rsid w:val="004D08C9"/>
    <w:rsid w:val="004D1115"/>
    <w:rsid w:val="004D3520"/>
    <w:rsid w:val="004D474D"/>
    <w:rsid w:val="004D6765"/>
    <w:rsid w:val="004E0B8C"/>
    <w:rsid w:val="004E1A4B"/>
    <w:rsid w:val="004E6811"/>
    <w:rsid w:val="004E748D"/>
    <w:rsid w:val="004F4374"/>
    <w:rsid w:val="004F7C82"/>
    <w:rsid w:val="00502B1D"/>
    <w:rsid w:val="00505861"/>
    <w:rsid w:val="005100E1"/>
    <w:rsid w:val="005146C4"/>
    <w:rsid w:val="005162DB"/>
    <w:rsid w:val="00520647"/>
    <w:rsid w:val="00523BF1"/>
    <w:rsid w:val="0052466E"/>
    <w:rsid w:val="00526B27"/>
    <w:rsid w:val="00530426"/>
    <w:rsid w:val="005317AD"/>
    <w:rsid w:val="00541DA5"/>
    <w:rsid w:val="00543947"/>
    <w:rsid w:val="0055549D"/>
    <w:rsid w:val="00556364"/>
    <w:rsid w:val="00556C29"/>
    <w:rsid w:val="00563CAF"/>
    <w:rsid w:val="00564F4D"/>
    <w:rsid w:val="00567F0E"/>
    <w:rsid w:val="00576A78"/>
    <w:rsid w:val="00587A10"/>
    <w:rsid w:val="005901BD"/>
    <w:rsid w:val="00590FAF"/>
    <w:rsid w:val="005A1CC0"/>
    <w:rsid w:val="005A7C8B"/>
    <w:rsid w:val="005B19AC"/>
    <w:rsid w:val="005C05AF"/>
    <w:rsid w:val="005C0B9D"/>
    <w:rsid w:val="005C21E4"/>
    <w:rsid w:val="005C5D48"/>
    <w:rsid w:val="005D2655"/>
    <w:rsid w:val="005F331E"/>
    <w:rsid w:val="0060275D"/>
    <w:rsid w:val="0060439C"/>
    <w:rsid w:val="00606351"/>
    <w:rsid w:val="006220BF"/>
    <w:rsid w:val="00633616"/>
    <w:rsid w:val="006337EC"/>
    <w:rsid w:val="006367DF"/>
    <w:rsid w:val="00645A7A"/>
    <w:rsid w:val="00653786"/>
    <w:rsid w:val="00664553"/>
    <w:rsid w:val="00665194"/>
    <w:rsid w:val="00666E5D"/>
    <w:rsid w:val="00670C95"/>
    <w:rsid w:val="006743AE"/>
    <w:rsid w:val="0068059D"/>
    <w:rsid w:val="006813F6"/>
    <w:rsid w:val="00681589"/>
    <w:rsid w:val="00692F0B"/>
    <w:rsid w:val="00693718"/>
    <w:rsid w:val="00696C5E"/>
    <w:rsid w:val="006A4202"/>
    <w:rsid w:val="006A4B30"/>
    <w:rsid w:val="006A641A"/>
    <w:rsid w:val="006B0B69"/>
    <w:rsid w:val="006C15DF"/>
    <w:rsid w:val="006C20B7"/>
    <w:rsid w:val="006C4617"/>
    <w:rsid w:val="006C73E3"/>
    <w:rsid w:val="006D042F"/>
    <w:rsid w:val="006D3DC5"/>
    <w:rsid w:val="006E53EC"/>
    <w:rsid w:val="006E6CC6"/>
    <w:rsid w:val="006F009A"/>
    <w:rsid w:val="006F0388"/>
    <w:rsid w:val="006F41AA"/>
    <w:rsid w:val="006F4EF3"/>
    <w:rsid w:val="00707A70"/>
    <w:rsid w:val="007132AF"/>
    <w:rsid w:val="007161E0"/>
    <w:rsid w:val="00730F14"/>
    <w:rsid w:val="00732589"/>
    <w:rsid w:val="00734CA8"/>
    <w:rsid w:val="007457A6"/>
    <w:rsid w:val="00750832"/>
    <w:rsid w:val="00752230"/>
    <w:rsid w:val="00756FA9"/>
    <w:rsid w:val="00760D1A"/>
    <w:rsid w:val="007704CA"/>
    <w:rsid w:val="00771E0B"/>
    <w:rsid w:val="007820FA"/>
    <w:rsid w:val="00785D82"/>
    <w:rsid w:val="007874FB"/>
    <w:rsid w:val="00795035"/>
    <w:rsid w:val="00795895"/>
    <w:rsid w:val="00796AAA"/>
    <w:rsid w:val="007A147D"/>
    <w:rsid w:val="007A24E4"/>
    <w:rsid w:val="007C231E"/>
    <w:rsid w:val="007C2411"/>
    <w:rsid w:val="007C483E"/>
    <w:rsid w:val="007C516E"/>
    <w:rsid w:val="007C69AF"/>
    <w:rsid w:val="007E285C"/>
    <w:rsid w:val="007F25C2"/>
    <w:rsid w:val="007F7815"/>
    <w:rsid w:val="00811514"/>
    <w:rsid w:val="00814331"/>
    <w:rsid w:val="00815E3A"/>
    <w:rsid w:val="00830D0F"/>
    <w:rsid w:val="00831EE8"/>
    <w:rsid w:val="008349AD"/>
    <w:rsid w:val="00846718"/>
    <w:rsid w:val="008541D9"/>
    <w:rsid w:val="008559B0"/>
    <w:rsid w:val="00855DBE"/>
    <w:rsid w:val="00865CF5"/>
    <w:rsid w:val="00867C29"/>
    <w:rsid w:val="00871442"/>
    <w:rsid w:val="00886BC4"/>
    <w:rsid w:val="0089155A"/>
    <w:rsid w:val="00894C40"/>
    <w:rsid w:val="008960D0"/>
    <w:rsid w:val="00896562"/>
    <w:rsid w:val="008A0184"/>
    <w:rsid w:val="008A4B11"/>
    <w:rsid w:val="008A51C8"/>
    <w:rsid w:val="008B31B2"/>
    <w:rsid w:val="008C1146"/>
    <w:rsid w:val="008C11BB"/>
    <w:rsid w:val="008D014B"/>
    <w:rsid w:val="008E132A"/>
    <w:rsid w:val="008E5F39"/>
    <w:rsid w:val="008E6019"/>
    <w:rsid w:val="008F3FB8"/>
    <w:rsid w:val="008F56C7"/>
    <w:rsid w:val="00904C34"/>
    <w:rsid w:val="00911D1F"/>
    <w:rsid w:val="00912832"/>
    <w:rsid w:val="00916115"/>
    <w:rsid w:val="00927571"/>
    <w:rsid w:val="0092768E"/>
    <w:rsid w:val="00933E20"/>
    <w:rsid w:val="009429DA"/>
    <w:rsid w:val="009430C6"/>
    <w:rsid w:val="00951DB8"/>
    <w:rsid w:val="0095384D"/>
    <w:rsid w:val="00963540"/>
    <w:rsid w:val="009667AB"/>
    <w:rsid w:val="0096689D"/>
    <w:rsid w:val="0096695D"/>
    <w:rsid w:val="00967197"/>
    <w:rsid w:val="00974004"/>
    <w:rsid w:val="00980729"/>
    <w:rsid w:val="00983269"/>
    <w:rsid w:val="00990D72"/>
    <w:rsid w:val="00992C61"/>
    <w:rsid w:val="009B0734"/>
    <w:rsid w:val="009C4B93"/>
    <w:rsid w:val="009C5BC6"/>
    <w:rsid w:val="009D6A4F"/>
    <w:rsid w:val="009E09E2"/>
    <w:rsid w:val="009E32EF"/>
    <w:rsid w:val="009F1F25"/>
    <w:rsid w:val="009F6223"/>
    <w:rsid w:val="009F6E6F"/>
    <w:rsid w:val="00A01498"/>
    <w:rsid w:val="00A033A4"/>
    <w:rsid w:val="00A13D7C"/>
    <w:rsid w:val="00A17E11"/>
    <w:rsid w:val="00A23E72"/>
    <w:rsid w:val="00A2407B"/>
    <w:rsid w:val="00A25EF8"/>
    <w:rsid w:val="00A36C1C"/>
    <w:rsid w:val="00A4667C"/>
    <w:rsid w:val="00A4730B"/>
    <w:rsid w:val="00A509AE"/>
    <w:rsid w:val="00A52075"/>
    <w:rsid w:val="00A5329A"/>
    <w:rsid w:val="00A63EEE"/>
    <w:rsid w:val="00A715FD"/>
    <w:rsid w:val="00A81BC0"/>
    <w:rsid w:val="00A81FFD"/>
    <w:rsid w:val="00A84DF6"/>
    <w:rsid w:val="00A92AB5"/>
    <w:rsid w:val="00A93F14"/>
    <w:rsid w:val="00A949F8"/>
    <w:rsid w:val="00A978CA"/>
    <w:rsid w:val="00AA15AC"/>
    <w:rsid w:val="00AA262D"/>
    <w:rsid w:val="00AA67D9"/>
    <w:rsid w:val="00AB2D0D"/>
    <w:rsid w:val="00AC2ECF"/>
    <w:rsid w:val="00AC7F4F"/>
    <w:rsid w:val="00AD74EE"/>
    <w:rsid w:val="00AE129F"/>
    <w:rsid w:val="00AE1B0D"/>
    <w:rsid w:val="00AE6E9A"/>
    <w:rsid w:val="00AF15D4"/>
    <w:rsid w:val="00AF2591"/>
    <w:rsid w:val="00B02CFC"/>
    <w:rsid w:val="00B0459F"/>
    <w:rsid w:val="00B05A50"/>
    <w:rsid w:val="00B06A5D"/>
    <w:rsid w:val="00B1526B"/>
    <w:rsid w:val="00B31160"/>
    <w:rsid w:val="00B3440B"/>
    <w:rsid w:val="00B35913"/>
    <w:rsid w:val="00B44ED1"/>
    <w:rsid w:val="00B501C1"/>
    <w:rsid w:val="00B72319"/>
    <w:rsid w:val="00B72C9E"/>
    <w:rsid w:val="00B772F1"/>
    <w:rsid w:val="00B77909"/>
    <w:rsid w:val="00B85121"/>
    <w:rsid w:val="00B86C42"/>
    <w:rsid w:val="00BA0DC2"/>
    <w:rsid w:val="00BA1231"/>
    <w:rsid w:val="00BB0495"/>
    <w:rsid w:val="00BB0DC1"/>
    <w:rsid w:val="00BC2652"/>
    <w:rsid w:val="00BC485A"/>
    <w:rsid w:val="00BC5252"/>
    <w:rsid w:val="00BC5431"/>
    <w:rsid w:val="00BE2003"/>
    <w:rsid w:val="00BF0993"/>
    <w:rsid w:val="00BF525D"/>
    <w:rsid w:val="00C012F5"/>
    <w:rsid w:val="00C07254"/>
    <w:rsid w:val="00C10DD3"/>
    <w:rsid w:val="00C16255"/>
    <w:rsid w:val="00C17565"/>
    <w:rsid w:val="00C23C9B"/>
    <w:rsid w:val="00C3239F"/>
    <w:rsid w:val="00C3783C"/>
    <w:rsid w:val="00C52B02"/>
    <w:rsid w:val="00C52F12"/>
    <w:rsid w:val="00C60B36"/>
    <w:rsid w:val="00C7522E"/>
    <w:rsid w:val="00C808EF"/>
    <w:rsid w:val="00C93E88"/>
    <w:rsid w:val="00CB7E8C"/>
    <w:rsid w:val="00CC7021"/>
    <w:rsid w:val="00CD5E96"/>
    <w:rsid w:val="00CE2C07"/>
    <w:rsid w:val="00CF6B84"/>
    <w:rsid w:val="00CF7523"/>
    <w:rsid w:val="00D05715"/>
    <w:rsid w:val="00D07229"/>
    <w:rsid w:val="00D132A4"/>
    <w:rsid w:val="00D219C8"/>
    <w:rsid w:val="00D26F09"/>
    <w:rsid w:val="00D30ACD"/>
    <w:rsid w:val="00D36539"/>
    <w:rsid w:val="00D367DD"/>
    <w:rsid w:val="00D43989"/>
    <w:rsid w:val="00D45AC3"/>
    <w:rsid w:val="00D47C28"/>
    <w:rsid w:val="00D5228C"/>
    <w:rsid w:val="00D5700B"/>
    <w:rsid w:val="00D6736B"/>
    <w:rsid w:val="00D8542E"/>
    <w:rsid w:val="00D86A10"/>
    <w:rsid w:val="00D86D65"/>
    <w:rsid w:val="00D86DC6"/>
    <w:rsid w:val="00D87ADF"/>
    <w:rsid w:val="00DA467E"/>
    <w:rsid w:val="00DB2A2F"/>
    <w:rsid w:val="00DB304E"/>
    <w:rsid w:val="00DB4EF2"/>
    <w:rsid w:val="00DC14B7"/>
    <w:rsid w:val="00DC493C"/>
    <w:rsid w:val="00DC6594"/>
    <w:rsid w:val="00DD3BA3"/>
    <w:rsid w:val="00DE2DB8"/>
    <w:rsid w:val="00DE6CC1"/>
    <w:rsid w:val="00E022DB"/>
    <w:rsid w:val="00E03C90"/>
    <w:rsid w:val="00E10346"/>
    <w:rsid w:val="00E30BB6"/>
    <w:rsid w:val="00E37EFB"/>
    <w:rsid w:val="00E42587"/>
    <w:rsid w:val="00E43519"/>
    <w:rsid w:val="00E725A4"/>
    <w:rsid w:val="00E73588"/>
    <w:rsid w:val="00E770FA"/>
    <w:rsid w:val="00E857F7"/>
    <w:rsid w:val="00E85E72"/>
    <w:rsid w:val="00E864A0"/>
    <w:rsid w:val="00E91894"/>
    <w:rsid w:val="00E9247A"/>
    <w:rsid w:val="00EA2A9E"/>
    <w:rsid w:val="00EA7346"/>
    <w:rsid w:val="00EB2FBB"/>
    <w:rsid w:val="00EC588E"/>
    <w:rsid w:val="00ED5968"/>
    <w:rsid w:val="00ED60E3"/>
    <w:rsid w:val="00ED65DE"/>
    <w:rsid w:val="00EE15C3"/>
    <w:rsid w:val="00EE46D6"/>
    <w:rsid w:val="00F00449"/>
    <w:rsid w:val="00F01B5D"/>
    <w:rsid w:val="00F01C32"/>
    <w:rsid w:val="00F11CB8"/>
    <w:rsid w:val="00F245B6"/>
    <w:rsid w:val="00F364E3"/>
    <w:rsid w:val="00F4225D"/>
    <w:rsid w:val="00F469D3"/>
    <w:rsid w:val="00F630FC"/>
    <w:rsid w:val="00F77C8D"/>
    <w:rsid w:val="00FA0C24"/>
    <w:rsid w:val="00FA3CE8"/>
    <w:rsid w:val="00FA500A"/>
    <w:rsid w:val="00FA5BD7"/>
    <w:rsid w:val="00FA7019"/>
    <w:rsid w:val="00FB0048"/>
    <w:rsid w:val="00FB66AC"/>
    <w:rsid w:val="00FB7F0A"/>
    <w:rsid w:val="00FC13A4"/>
    <w:rsid w:val="00FC33EB"/>
    <w:rsid w:val="00FC53D0"/>
    <w:rsid w:val="00FD6757"/>
    <w:rsid w:val="00FD68E7"/>
    <w:rsid w:val="00FE4D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FB08C"/>
  <w15:chartTrackingRefBased/>
  <w15:docId w15:val="{22357A7C-90CA-4773-A8C9-FBEFB19A7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743"/>
    <w:pPr>
      <w:spacing w:after="0" w:line="240" w:lineRule="auto"/>
    </w:pPr>
    <w:rPr>
      <w:rFonts w:ascii="Arial" w:eastAsia="Times New Roman" w:hAnsi="Arial" w:cs="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PHE Table1"/>
    <w:basedOn w:val="TableNormal"/>
    <w:uiPriority w:val="59"/>
    <w:rsid w:val="009E09E2"/>
    <w:pPr>
      <w:spacing w:after="0" w:line="240" w:lineRule="auto"/>
    </w:pPr>
    <w:rPr>
      <w:rFonts w:ascii="Arial" w:eastAsia="Times New Roman" w:hAnsi="Arial"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cPr>
        <w:shd w:val="clear" w:color="auto" w:fill="800000"/>
      </w:tcPr>
    </w:tblStylePr>
  </w:style>
  <w:style w:type="paragraph" w:styleId="Title">
    <w:name w:val="Title"/>
    <w:basedOn w:val="Normal"/>
    <w:next w:val="Normal"/>
    <w:link w:val="TitleChar"/>
    <w:uiPriority w:val="10"/>
    <w:qFormat/>
    <w:rsid w:val="009E09E2"/>
    <w:pPr>
      <w:tabs>
        <w:tab w:val="left" w:pos="1920"/>
      </w:tabs>
      <w:spacing w:before="240" w:after="240" w:line="400" w:lineRule="exact"/>
      <w:ind w:left="1310"/>
      <w:outlineLvl w:val="0"/>
    </w:pPr>
    <w:rPr>
      <w:rFonts w:eastAsia="MS Gothic" w:cs="Times New Roman"/>
      <w:b/>
      <w:bCs/>
      <w:color w:val="FFFFFF"/>
      <w:spacing w:val="10"/>
      <w:kern w:val="28"/>
      <w:sz w:val="32"/>
      <w:szCs w:val="32"/>
    </w:rPr>
  </w:style>
  <w:style w:type="character" w:customStyle="1" w:styleId="TitleChar">
    <w:name w:val="Title Char"/>
    <w:basedOn w:val="DefaultParagraphFont"/>
    <w:link w:val="Title"/>
    <w:uiPriority w:val="10"/>
    <w:rsid w:val="009E09E2"/>
    <w:rPr>
      <w:rFonts w:ascii="Arial" w:eastAsia="MS Gothic" w:hAnsi="Arial" w:cs="Times New Roman"/>
      <w:b/>
      <w:bCs/>
      <w:color w:val="FFFFFF"/>
      <w:spacing w:val="10"/>
      <w:kern w:val="28"/>
      <w:sz w:val="32"/>
      <w:szCs w:val="32"/>
    </w:rPr>
  </w:style>
  <w:style w:type="paragraph" w:customStyle="1" w:styleId="PHEBodycopy">
    <w:name w:val="PHE Body copy"/>
    <w:basedOn w:val="Normal"/>
    <w:qFormat/>
    <w:rsid w:val="009E09E2"/>
    <w:pPr>
      <w:spacing w:line="320" w:lineRule="exact"/>
    </w:pPr>
    <w:rPr>
      <w:rFonts w:eastAsia="Calibri"/>
      <w:lang w:eastAsia="en-GB"/>
    </w:rPr>
  </w:style>
  <w:style w:type="paragraph" w:styleId="NormalWeb">
    <w:name w:val="Normal (Web)"/>
    <w:basedOn w:val="Normal"/>
    <w:uiPriority w:val="99"/>
    <w:unhideWhenUsed/>
    <w:rsid w:val="009E09E2"/>
    <w:pPr>
      <w:spacing w:before="100" w:beforeAutospacing="1" w:after="100" w:afterAutospacing="1"/>
    </w:pPr>
    <w:rPr>
      <w:rFonts w:ascii="Times New Roman" w:hAnsi="Times New Roman" w:cs="Times New Roman"/>
      <w:szCs w:val="24"/>
      <w:lang w:eastAsia="en-GB"/>
    </w:rPr>
  </w:style>
  <w:style w:type="paragraph" w:styleId="Header">
    <w:name w:val="header"/>
    <w:basedOn w:val="Normal"/>
    <w:link w:val="HeaderChar"/>
    <w:uiPriority w:val="99"/>
    <w:unhideWhenUsed/>
    <w:rsid w:val="009E09E2"/>
    <w:pPr>
      <w:tabs>
        <w:tab w:val="center" w:pos="4513"/>
        <w:tab w:val="right" w:pos="9026"/>
      </w:tabs>
    </w:pPr>
  </w:style>
  <w:style w:type="character" w:customStyle="1" w:styleId="HeaderChar">
    <w:name w:val="Header Char"/>
    <w:basedOn w:val="DefaultParagraphFont"/>
    <w:link w:val="Header"/>
    <w:uiPriority w:val="99"/>
    <w:rsid w:val="009E09E2"/>
    <w:rPr>
      <w:rFonts w:ascii="Arial" w:eastAsia="Times New Roman" w:hAnsi="Arial" w:cs="Arial"/>
      <w:sz w:val="24"/>
      <w:szCs w:val="20"/>
    </w:rPr>
  </w:style>
  <w:style w:type="paragraph" w:styleId="Footer">
    <w:name w:val="footer"/>
    <w:basedOn w:val="Normal"/>
    <w:link w:val="FooterChar"/>
    <w:uiPriority w:val="99"/>
    <w:unhideWhenUsed/>
    <w:rsid w:val="009E09E2"/>
    <w:pPr>
      <w:tabs>
        <w:tab w:val="center" w:pos="4513"/>
        <w:tab w:val="right" w:pos="9026"/>
      </w:tabs>
    </w:pPr>
  </w:style>
  <w:style w:type="character" w:customStyle="1" w:styleId="FooterChar">
    <w:name w:val="Footer Char"/>
    <w:basedOn w:val="DefaultParagraphFont"/>
    <w:link w:val="Footer"/>
    <w:uiPriority w:val="99"/>
    <w:rsid w:val="009E09E2"/>
    <w:rPr>
      <w:rFonts w:ascii="Arial" w:eastAsia="Times New Roman" w:hAnsi="Arial" w:cs="Arial"/>
      <w:sz w:val="24"/>
      <w:szCs w:val="20"/>
    </w:rPr>
  </w:style>
  <w:style w:type="character" w:styleId="Hyperlink">
    <w:name w:val="Hyperlink"/>
    <w:basedOn w:val="DefaultParagraphFont"/>
    <w:uiPriority w:val="99"/>
    <w:unhideWhenUsed/>
    <w:rsid w:val="00AA15AC"/>
    <w:rPr>
      <w:color w:val="98132E"/>
      <w:u w:val="none"/>
    </w:rPr>
  </w:style>
  <w:style w:type="character" w:styleId="FollowedHyperlink">
    <w:name w:val="FollowedHyperlink"/>
    <w:basedOn w:val="DefaultParagraphFont"/>
    <w:uiPriority w:val="99"/>
    <w:semiHidden/>
    <w:unhideWhenUsed/>
    <w:rsid w:val="00497897"/>
    <w:rPr>
      <w:color w:val="954F72" w:themeColor="followedHyperlink"/>
      <w:u w:val="single"/>
    </w:rPr>
  </w:style>
  <w:style w:type="character" w:customStyle="1" w:styleId="UnresolvedMention1">
    <w:name w:val="Unresolved Mention1"/>
    <w:basedOn w:val="DefaultParagraphFont"/>
    <w:uiPriority w:val="99"/>
    <w:rsid w:val="000D74A2"/>
    <w:rPr>
      <w:color w:val="808080"/>
      <w:shd w:val="clear" w:color="auto" w:fill="E6E6E6"/>
    </w:rPr>
  </w:style>
  <w:style w:type="character" w:styleId="CommentReference">
    <w:name w:val="annotation reference"/>
    <w:basedOn w:val="DefaultParagraphFont"/>
    <w:uiPriority w:val="99"/>
    <w:semiHidden/>
    <w:unhideWhenUsed/>
    <w:rsid w:val="00025257"/>
    <w:rPr>
      <w:sz w:val="16"/>
      <w:szCs w:val="16"/>
    </w:rPr>
  </w:style>
  <w:style w:type="paragraph" w:styleId="CommentText">
    <w:name w:val="annotation text"/>
    <w:basedOn w:val="Normal"/>
    <w:link w:val="CommentTextChar"/>
    <w:uiPriority w:val="99"/>
    <w:semiHidden/>
    <w:unhideWhenUsed/>
    <w:rsid w:val="00025257"/>
    <w:rPr>
      <w:sz w:val="20"/>
    </w:rPr>
  </w:style>
  <w:style w:type="character" w:customStyle="1" w:styleId="CommentTextChar">
    <w:name w:val="Comment Text Char"/>
    <w:basedOn w:val="DefaultParagraphFont"/>
    <w:link w:val="CommentText"/>
    <w:uiPriority w:val="99"/>
    <w:semiHidden/>
    <w:rsid w:val="00025257"/>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025257"/>
    <w:rPr>
      <w:b/>
      <w:bCs/>
    </w:rPr>
  </w:style>
  <w:style w:type="character" w:customStyle="1" w:styleId="CommentSubjectChar">
    <w:name w:val="Comment Subject Char"/>
    <w:basedOn w:val="CommentTextChar"/>
    <w:link w:val="CommentSubject"/>
    <w:uiPriority w:val="99"/>
    <w:semiHidden/>
    <w:rsid w:val="00025257"/>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0252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257"/>
    <w:rPr>
      <w:rFonts w:ascii="Segoe UI" w:eastAsia="Times New Roman" w:hAnsi="Segoe UI" w:cs="Segoe UI"/>
      <w:sz w:val="18"/>
      <w:szCs w:val="18"/>
    </w:rPr>
  </w:style>
  <w:style w:type="character" w:customStyle="1" w:styleId="UnresolvedMention2">
    <w:name w:val="Unresolved Mention2"/>
    <w:basedOn w:val="DefaultParagraphFont"/>
    <w:uiPriority w:val="99"/>
    <w:rsid w:val="002838D7"/>
    <w:rPr>
      <w:color w:val="808080"/>
      <w:shd w:val="clear" w:color="auto" w:fill="E6E6E6"/>
    </w:rPr>
  </w:style>
  <w:style w:type="paragraph" w:styleId="ListParagraph">
    <w:name w:val="List Paragraph"/>
    <w:basedOn w:val="Normal"/>
    <w:uiPriority w:val="34"/>
    <w:qFormat/>
    <w:rsid w:val="00811514"/>
    <w:pPr>
      <w:ind w:left="720"/>
      <w:contextualSpacing/>
    </w:pPr>
  </w:style>
  <w:style w:type="character" w:customStyle="1" w:styleId="UnresolvedMention3">
    <w:name w:val="Unresolved Mention3"/>
    <w:basedOn w:val="DefaultParagraphFont"/>
    <w:uiPriority w:val="99"/>
    <w:rsid w:val="00A93F14"/>
    <w:rPr>
      <w:color w:val="808080"/>
      <w:shd w:val="clear" w:color="auto" w:fill="E6E6E6"/>
    </w:rPr>
  </w:style>
  <w:style w:type="character" w:customStyle="1" w:styleId="UnresolvedMention4">
    <w:name w:val="Unresolved Mention4"/>
    <w:basedOn w:val="DefaultParagraphFont"/>
    <w:uiPriority w:val="99"/>
    <w:rsid w:val="00D05715"/>
    <w:rPr>
      <w:color w:val="808080"/>
      <w:shd w:val="clear" w:color="auto" w:fill="E6E6E6"/>
    </w:rPr>
  </w:style>
  <w:style w:type="character" w:styleId="Emphasis">
    <w:name w:val="Emphasis"/>
    <w:basedOn w:val="DefaultParagraphFont"/>
    <w:uiPriority w:val="20"/>
    <w:qFormat/>
    <w:rsid w:val="006C15DF"/>
    <w:rPr>
      <w:i/>
      <w:iCs/>
    </w:rPr>
  </w:style>
  <w:style w:type="paragraph" w:styleId="Revision">
    <w:name w:val="Revision"/>
    <w:hidden/>
    <w:uiPriority w:val="99"/>
    <w:semiHidden/>
    <w:rsid w:val="0060275D"/>
    <w:pPr>
      <w:spacing w:after="0" w:line="240" w:lineRule="auto"/>
    </w:pPr>
    <w:rPr>
      <w:rFonts w:ascii="Arial" w:eastAsia="Times New Roman" w:hAnsi="Arial" w:cs="Arial"/>
      <w:sz w:val="24"/>
      <w:szCs w:val="20"/>
    </w:rPr>
  </w:style>
  <w:style w:type="character" w:customStyle="1" w:styleId="UnresolvedMention5">
    <w:name w:val="Unresolved Mention5"/>
    <w:basedOn w:val="DefaultParagraphFont"/>
    <w:uiPriority w:val="99"/>
    <w:rsid w:val="007C241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32950">
      <w:bodyDiv w:val="1"/>
      <w:marLeft w:val="0"/>
      <w:marRight w:val="0"/>
      <w:marTop w:val="0"/>
      <w:marBottom w:val="0"/>
      <w:divBdr>
        <w:top w:val="none" w:sz="0" w:space="0" w:color="auto"/>
        <w:left w:val="none" w:sz="0" w:space="0" w:color="auto"/>
        <w:bottom w:val="none" w:sz="0" w:space="0" w:color="auto"/>
        <w:right w:val="none" w:sz="0" w:space="0" w:color="auto"/>
      </w:divBdr>
    </w:div>
    <w:div w:id="51471146">
      <w:bodyDiv w:val="1"/>
      <w:marLeft w:val="0"/>
      <w:marRight w:val="0"/>
      <w:marTop w:val="0"/>
      <w:marBottom w:val="0"/>
      <w:divBdr>
        <w:top w:val="none" w:sz="0" w:space="0" w:color="auto"/>
        <w:left w:val="none" w:sz="0" w:space="0" w:color="auto"/>
        <w:bottom w:val="none" w:sz="0" w:space="0" w:color="auto"/>
        <w:right w:val="none" w:sz="0" w:space="0" w:color="auto"/>
      </w:divBdr>
    </w:div>
    <w:div w:id="79835089">
      <w:bodyDiv w:val="1"/>
      <w:marLeft w:val="0"/>
      <w:marRight w:val="0"/>
      <w:marTop w:val="0"/>
      <w:marBottom w:val="0"/>
      <w:divBdr>
        <w:top w:val="none" w:sz="0" w:space="0" w:color="auto"/>
        <w:left w:val="none" w:sz="0" w:space="0" w:color="auto"/>
        <w:bottom w:val="none" w:sz="0" w:space="0" w:color="auto"/>
        <w:right w:val="none" w:sz="0" w:space="0" w:color="auto"/>
      </w:divBdr>
    </w:div>
    <w:div w:id="98305739">
      <w:bodyDiv w:val="1"/>
      <w:marLeft w:val="0"/>
      <w:marRight w:val="0"/>
      <w:marTop w:val="0"/>
      <w:marBottom w:val="0"/>
      <w:divBdr>
        <w:top w:val="none" w:sz="0" w:space="0" w:color="auto"/>
        <w:left w:val="none" w:sz="0" w:space="0" w:color="auto"/>
        <w:bottom w:val="none" w:sz="0" w:space="0" w:color="auto"/>
        <w:right w:val="none" w:sz="0" w:space="0" w:color="auto"/>
      </w:divBdr>
    </w:div>
    <w:div w:id="248387090">
      <w:bodyDiv w:val="1"/>
      <w:marLeft w:val="0"/>
      <w:marRight w:val="0"/>
      <w:marTop w:val="0"/>
      <w:marBottom w:val="0"/>
      <w:divBdr>
        <w:top w:val="none" w:sz="0" w:space="0" w:color="auto"/>
        <w:left w:val="none" w:sz="0" w:space="0" w:color="auto"/>
        <w:bottom w:val="none" w:sz="0" w:space="0" w:color="auto"/>
        <w:right w:val="none" w:sz="0" w:space="0" w:color="auto"/>
      </w:divBdr>
    </w:div>
    <w:div w:id="331226086">
      <w:bodyDiv w:val="1"/>
      <w:marLeft w:val="0"/>
      <w:marRight w:val="0"/>
      <w:marTop w:val="0"/>
      <w:marBottom w:val="0"/>
      <w:divBdr>
        <w:top w:val="none" w:sz="0" w:space="0" w:color="auto"/>
        <w:left w:val="none" w:sz="0" w:space="0" w:color="auto"/>
        <w:bottom w:val="none" w:sz="0" w:space="0" w:color="auto"/>
        <w:right w:val="none" w:sz="0" w:space="0" w:color="auto"/>
      </w:divBdr>
    </w:div>
    <w:div w:id="421342135">
      <w:bodyDiv w:val="1"/>
      <w:marLeft w:val="0"/>
      <w:marRight w:val="0"/>
      <w:marTop w:val="0"/>
      <w:marBottom w:val="0"/>
      <w:divBdr>
        <w:top w:val="none" w:sz="0" w:space="0" w:color="auto"/>
        <w:left w:val="none" w:sz="0" w:space="0" w:color="auto"/>
        <w:bottom w:val="none" w:sz="0" w:space="0" w:color="auto"/>
        <w:right w:val="none" w:sz="0" w:space="0" w:color="auto"/>
      </w:divBdr>
    </w:div>
    <w:div w:id="514079735">
      <w:bodyDiv w:val="1"/>
      <w:marLeft w:val="0"/>
      <w:marRight w:val="0"/>
      <w:marTop w:val="0"/>
      <w:marBottom w:val="0"/>
      <w:divBdr>
        <w:top w:val="none" w:sz="0" w:space="0" w:color="auto"/>
        <w:left w:val="none" w:sz="0" w:space="0" w:color="auto"/>
        <w:bottom w:val="none" w:sz="0" w:space="0" w:color="auto"/>
        <w:right w:val="none" w:sz="0" w:space="0" w:color="auto"/>
      </w:divBdr>
    </w:div>
    <w:div w:id="560095450">
      <w:bodyDiv w:val="1"/>
      <w:marLeft w:val="0"/>
      <w:marRight w:val="0"/>
      <w:marTop w:val="0"/>
      <w:marBottom w:val="0"/>
      <w:divBdr>
        <w:top w:val="none" w:sz="0" w:space="0" w:color="auto"/>
        <w:left w:val="none" w:sz="0" w:space="0" w:color="auto"/>
        <w:bottom w:val="none" w:sz="0" w:space="0" w:color="auto"/>
        <w:right w:val="none" w:sz="0" w:space="0" w:color="auto"/>
      </w:divBdr>
    </w:div>
    <w:div w:id="573469789">
      <w:bodyDiv w:val="1"/>
      <w:marLeft w:val="0"/>
      <w:marRight w:val="0"/>
      <w:marTop w:val="0"/>
      <w:marBottom w:val="0"/>
      <w:divBdr>
        <w:top w:val="none" w:sz="0" w:space="0" w:color="auto"/>
        <w:left w:val="none" w:sz="0" w:space="0" w:color="auto"/>
        <w:bottom w:val="none" w:sz="0" w:space="0" w:color="auto"/>
        <w:right w:val="none" w:sz="0" w:space="0" w:color="auto"/>
      </w:divBdr>
      <w:divsChild>
        <w:div w:id="995764578">
          <w:marLeft w:val="0"/>
          <w:marRight w:val="0"/>
          <w:marTop w:val="0"/>
          <w:marBottom w:val="0"/>
          <w:divBdr>
            <w:top w:val="none" w:sz="0" w:space="0" w:color="auto"/>
            <w:left w:val="none" w:sz="0" w:space="0" w:color="auto"/>
            <w:bottom w:val="none" w:sz="0" w:space="0" w:color="auto"/>
            <w:right w:val="none" w:sz="0" w:space="0" w:color="auto"/>
          </w:divBdr>
          <w:divsChild>
            <w:div w:id="249319304">
              <w:marLeft w:val="0"/>
              <w:marRight w:val="0"/>
              <w:marTop w:val="0"/>
              <w:marBottom w:val="0"/>
              <w:divBdr>
                <w:top w:val="none" w:sz="0" w:space="0" w:color="auto"/>
                <w:left w:val="none" w:sz="0" w:space="0" w:color="auto"/>
                <w:bottom w:val="none" w:sz="0" w:space="0" w:color="auto"/>
                <w:right w:val="none" w:sz="0" w:space="0" w:color="auto"/>
              </w:divBdr>
              <w:divsChild>
                <w:div w:id="158881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21288">
      <w:bodyDiv w:val="1"/>
      <w:marLeft w:val="0"/>
      <w:marRight w:val="0"/>
      <w:marTop w:val="0"/>
      <w:marBottom w:val="0"/>
      <w:divBdr>
        <w:top w:val="none" w:sz="0" w:space="0" w:color="auto"/>
        <w:left w:val="none" w:sz="0" w:space="0" w:color="auto"/>
        <w:bottom w:val="none" w:sz="0" w:space="0" w:color="auto"/>
        <w:right w:val="none" w:sz="0" w:space="0" w:color="auto"/>
      </w:divBdr>
      <w:divsChild>
        <w:div w:id="1644769935">
          <w:marLeft w:val="0"/>
          <w:marRight w:val="0"/>
          <w:marTop w:val="0"/>
          <w:marBottom w:val="750"/>
          <w:divBdr>
            <w:top w:val="none" w:sz="0" w:space="0" w:color="auto"/>
            <w:left w:val="none" w:sz="0" w:space="0" w:color="auto"/>
            <w:bottom w:val="none" w:sz="0" w:space="0" w:color="auto"/>
            <w:right w:val="none" w:sz="0" w:space="0" w:color="auto"/>
          </w:divBdr>
          <w:divsChild>
            <w:div w:id="277567777">
              <w:marLeft w:val="0"/>
              <w:marRight w:val="0"/>
              <w:marTop w:val="0"/>
              <w:marBottom w:val="0"/>
              <w:divBdr>
                <w:top w:val="none" w:sz="0" w:space="0" w:color="auto"/>
                <w:left w:val="none" w:sz="0" w:space="0" w:color="auto"/>
                <w:bottom w:val="none" w:sz="0" w:space="0" w:color="auto"/>
                <w:right w:val="none" w:sz="0" w:space="0" w:color="auto"/>
              </w:divBdr>
              <w:divsChild>
                <w:div w:id="1778408251">
                  <w:marLeft w:val="0"/>
                  <w:marRight w:val="0"/>
                  <w:marTop w:val="0"/>
                  <w:marBottom w:val="0"/>
                  <w:divBdr>
                    <w:top w:val="none" w:sz="0" w:space="0" w:color="auto"/>
                    <w:left w:val="none" w:sz="0" w:space="0" w:color="auto"/>
                    <w:bottom w:val="none" w:sz="0" w:space="0" w:color="auto"/>
                    <w:right w:val="none" w:sz="0" w:space="0" w:color="auto"/>
                  </w:divBdr>
                  <w:divsChild>
                    <w:div w:id="194445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375928">
      <w:bodyDiv w:val="1"/>
      <w:marLeft w:val="0"/>
      <w:marRight w:val="0"/>
      <w:marTop w:val="0"/>
      <w:marBottom w:val="0"/>
      <w:divBdr>
        <w:top w:val="none" w:sz="0" w:space="0" w:color="auto"/>
        <w:left w:val="none" w:sz="0" w:space="0" w:color="auto"/>
        <w:bottom w:val="none" w:sz="0" w:space="0" w:color="auto"/>
        <w:right w:val="none" w:sz="0" w:space="0" w:color="auto"/>
      </w:divBdr>
    </w:div>
    <w:div w:id="900872407">
      <w:bodyDiv w:val="1"/>
      <w:marLeft w:val="0"/>
      <w:marRight w:val="0"/>
      <w:marTop w:val="0"/>
      <w:marBottom w:val="0"/>
      <w:divBdr>
        <w:top w:val="none" w:sz="0" w:space="0" w:color="auto"/>
        <w:left w:val="none" w:sz="0" w:space="0" w:color="auto"/>
        <w:bottom w:val="none" w:sz="0" w:space="0" w:color="auto"/>
        <w:right w:val="none" w:sz="0" w:space="0" w:color="auto"/>
      </w:divBdr>
      <w:divsChild>
        <w:div w:id="1577860996">
          <w:marLeft w:val="0"/>
          <w:marRight w:val="0"/>
          <w:marTop w:val="0"/>
          <w:marBottom w:val="0"/>
          <w:divBdr>
            <w:top w:val="none" w:sz="0" w:space="0" w:color="auto"/>
            <w:left w:val="none" w:sz="0" w:space="0" w:color="auto"/>
            <w:bottom w:val="none" w:sz="0" w:space="0" w:color="auto"/>
            <w:right w:val="none" w:sz="0" w:space="0" w:color="auto"/>
          </w:divBdr>
          <w:divsChild>
            <w:div w:id="50807895">
              <w:marLeft w:val="0"/>
              <w:marRight w:val="0"/>
              <w:marTop w:val="0"/>
              <w:marBottom w:val="0"/>
              <w:divBdr>
                <w:top w:val="none" w:sz="0" w:space="0" w:color="auto"/>
                <w:left w:val="none" w:sz="0" w:space="0" w:color="auto"/>
                <w:bottom w:val="none" w:sz="0" w:space="0" w:color="auto"/>
                <w:right w:val="none" w:sz="0" w:space="0" w:color="auto"/>
              </w:divBdr>
              <w:divsChild>
                <w:div w:id="14000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503375">
      <w:bodyDiv w:val="1"/>
      <w:marLeft w:val="0"/>
      <w:marRight w:val="0"/>
      <w:marTop w:val="0"/>
      <w:marBottom w:val="0"/>
      <w:divBdr>
        <w:top w:val="none" w:sz="0" w:space="0" w:color="auto"/>
        <w:left w:val="none" w:sz="0" w:space="0" w:color="auto"/>
        <w:bottom w:val="none" w:sz="0" w:space="0" w:color="auto"/>
        <w:right w:val="none" w:sz="0" w:space="0" w:color="auto"/>
      </w:divBdr>
    </w:div>
    <w:div w:id="1045761686">
      <w:bodyDiv w:val="1"/>
      <w:marLeft w:val="0"/>
      <w:marRight w:val="0"/>
      <w:marTop w:val="0"/>
      <w:marBottom w:val="0"/>
      <w:divBdr>
        <w:top w:val="none" w:sz="0" w:space="0" w:color="auto"/>
        <w:left w:val="none" w:sz="0" w:space="0" w:color="auto"/>
        <w:bottom w:val="none" w:sz="0" w:space="0" w:color="auto"/>
        <w:right w:val="none" w:sz="0" w:space="0" w:color="auto"/>
      </w:divBdr>
    </w:div>
    <w:div w:id="1180702848">
      <w:bodyDiv w:val="1"/>
      <w:marLeft w:val="0"/>
      <w:marRight w:val="0"/>
      <w:marTop w:val="0"/>
      <w:marBottom w:val="0"/>
      <w:divBdr>
        <w:top w:val="none" w:sz="0" w:space="0" w:color="auto"/>
        <w:left w:val="none" w:sz="0" w:space="0" w:color="auto"/>
        <w:bottom w:val="none" w:sz="0" w:space="0" w:color="auto"/>
        <w:right w:val="none" w:sz="0" w:space="0" w:color="auto"/>
      </w:divBdr>
    </w:div>
    <w:div w:id="1183590756">
      <w:bodyDiv w:val="1"/>
      <w:marLeft w:val="0"/>
      <w:marRight w:val="0"/>
      <w:marTop w:val="0"/>
      <w:marBottom w:val="0"/>
      <w:divBdr>
        <w:top w:val="none" w:sz="0" w:space="0" w:color="auto"/>
        <w:left w:val="none" w:sz="0" w:space="0" w:color="auto"/>
        <w:bottom w:val="none" w:sz="0" w:space="0" w:color="auto"/>
        <w:right w:val="none" w:sz="0" w:space="0" w:color="auto"/>
      </w:divBdr>
    </w:div>
    <w:div w:id="1246643630">
      <w:bodyDiv w:val="1"/>
      <w:marLeft w:val="0"/>
      <w:marRight w:val="0"/>
      <w:marTop w:val="0"/>
      <w:marBottom w:val="0"/>
      <w:divBdr>
        <w:top w:val="none" w:sz="0" w:space="0" w:color="auto"/>
        <w:left w:val="none" w:sz="0" w:space="0" w:color="auto"/>
        <w:bottom w:val="none" w:sz="0" w:space="0" w:color="auto"/>
        <w:right w:val="none" w:sz="0" w:space="0" w:color="auto"/>
      </w:divBdr>
    </w:div>
    <w:div w:id="1293171237">
      <w:bodyDiv w:val="1"/>
      <w:marLeft w:val="0"/>
      <w:marRight w:val="0"/>
      <w:marTop w:val="0"/>
      <w:marBottom w:val="0"/>
      <w:divBdr>
        <w:top w:val="none" w:sz="0" w:space="0" w:color="auto"/>
        <w:left w:val="none" w:sz="0" w:space="0" w:color="auto"/>
        <w:bottom w:val="none" w:sz="0" w:space="0" w:color="auto"/>
        <w:right w:val="none" w:sz="0" w:space="0" w:color="auto"/>
      </w:divBdr>
    </w:div>
    <w:div w:id="1362511412">
      <w:bodyDiv w:val="1"/>
      <w:marLeft w:val="0"/>
      <w:marRight w:val="0"/>
      <w:marTop w:val="0"/>
      <w:marBottom w:val="0"/>
      <w:divBdr>
        <w:top w:val="none" w:sz="0" w:space="0" w:color="auto"/>
        <w:left w:val="none" w:sz="0" w:space="0" w:color="auto"/>
        <w:bottom w:val="none" w:sz="0" w:space="0" w:color="auto"/>
        <w:right w:val="none" w:sz="0" w:space="0" w:color="auto"/>
      </w:divBdr>
      <w:divsChild>
        <w:div w:id="1537506491">
          <w:marLeft w:val="0"/>
          <w:marRight w:val="0"/>
          <w:marTop w:val="0"/>
          <w:marBottom w:val="0"/>
          <w:divBdr>
            <w:top w:val="none" w:sz="0" w:space="0" w:color="auto"/>
            <w:left w:val="none" w:sz="0" w:space="0" w:color="auto"/>
            <w:bottom w:val="none" w:sz="0" w:space="0" w:color="auto"/>
            <w:right w:val="none" w:sz="0" w:space="0" w:color="auto"/>
          </w:divBdr>
          <w:divsChild>
            <w:div w:id="372580003">
              <w:marLeft w:val="0"/>
              <w:marRight w:val="0"/>
              <w:marTop w:val="0"/>
              <w:marBottom w:val="0"/>
              <w:divBdr>
                <w:top w:val="none" w:sz="0" w:space="0" w:color="auto"/>
                <w:left w:val="none" w:sz="0" w:space="0" w:color="auto"/>
                <w:bottom w:val="none" w:sz="0" w:space="0" w:color="auto"/>
                <w:right w:val="none" w:sz="0" w:space="0" w:color="auto"/>
              </w:divBdr>
              <w:divsChild>
                <w:div w:id="1488209295">
                  <w:marLeft w:val="0"/>
                  <w:marRight w:val="682"/>
                  <w:marTop w:val="0"/>
                  <w:marBottom w:val="0"/>
                  <w:divBdr>
                    <w:top w:val="none" w:sz="0" w:space="0" w:color="auto"/>
                    <w:left w:val="none" w:sz="0" w:space="0" w:color="auto"/>
                    <w:bottom w:val="none" w:sz="0" w:space="0" w:color="auto"/>
                    <w:right w:val="none" w:sz="0" w:space="0" w:color="auto"/>
                  </w:divBdr>
                </w:div>
              </w:divsChild>
            </w:div>
          </w:divsChild>
        </w:div>
      </w:divsChild>
    </w:div>
    <w:div w:id="1442722897">
      <w:bodyDiv w:val="1"/>
      <w:marLeft w:val="0"/>
      <w:marRight w:val="0"/>
      <w:marTop w:val="0"/>
      <w:marBottom w:val="0"/>
      <w:divBdr>
        <w:top w:val="none" w:sz="0" w:space="0" w:color="auto"/>
        <w:left w:val="none" w:sz="0" w:space="0" w:color="auto"/>
        <w:bottom w:val="none" w:sz="0" w:space="0" w:color="auto"/>
        <w:right w:val="none" w:sz="0" w:space="0" w:color="auto"/>
      </w:divBdr>
    </w:div>
    <w:div w:id="1626545954">
      <w:bodyDiv w:val="1"/>
      <w:marLeft w:val="0"/>
      <w:marRight w:val="0"/>
      <w:marTop w:val="0"/>
      <w:marBottom w:val="0"/>
      <w:divBdr>
        <w:top w:val="none" w:sz="0" w:space="0" w:color="auto"/>
        <w:left w:val="none" w:sz="0" w:space="0" w:color="auto"/>
        <w:bottom w:val="none" w:sz="0" w:space="0" w:color="auto"/>
        <w:right w:val="none" w:sz="0" w:space="0" w:color="auto"/>
      </w:divBdr>
    </w:div>
    <w:div w:id="1850215672">
      <w:bodyDiv w:val="1"/>
      <w:marLeft w:val="0"/>
      <w:marRight w:val="0"/>
      <w:marTop w:val="0"/>
      <w:marBottom w:val="0"/>
      <w:divBdr>
        <w:top w:val="none" w:sz="0" w:space="0" w:color="auto"/>
        <w:left w:val="none" w:sz="0" w:space="0" w:color="auto"/>
        <w:bottom w:val="none" w:sz="0" w:space="0" w:color="auto"/>
        <w:right w:val="none" w:sz="0" w:space="0" w:color="auto"/>
      </w:divBdr>
    </w:div>
    <w:div w:id="1864130454">
      <w:bodyDiv w:val="1"/>
      <w:marLeft w:val="0"/>
      <w:marRight w:val="0"/>
      <w:marTop w:val="0"/>
      <w:marBottom w:val="0"/>
      <w:divBdr>
        <w:top w:val="none" w:sz="0" w:space="0" w:color="auto"/>
        <w:left w:val="none" w:sz="0" w:space="0" w:color="auto"/>
        <w:bottom w:val="none" w:sz="0" w:space="0" w:color="auto"/>
        <w:right w:val="none" w:sz="0" w:space="0" w:color="auto"/>
      </w:divBdr>
      <w:divsChild>
        <w:div w:id="1693339386">
          <w:marLeft w:val="0"/>
          <w:marRight w:val="0"/>
          <w:marTop w:val="0"/>
          <w:marBottom w:val="0"/>
          <w:divBdr>
            <w:top w:val="none" w:sz="0" w:space="0" w:color="auto"/>
            <w:left w:val="none" w:sz="0" w:space="0" w:color="auto"/>
            <w:bottom w:val="none" w:sz="0" w:space="0" w:color="auto"/>
            <w:right w:val="none" w:sz="0" w:space="0" w:color="auto"/>
          </w:divBdr>
          <w:divsChild>
            <w:div w:id="504172921">
              <w:marLeft w:val="0"/>
              <w:marRight w:val="0"/>
              <w:marTop w:val="0"/>
              <w:marBottom w:val="0"/>
              <w:divBdr>
                <w:top w:val="none" w:sz="0" w:space="0" w:color="auto"/>
                <w:left w:val="none" w:sz="0" w:space="0" w:color="auto"/>
                <w:bottom w:val="none" w:sz="0" w:space="0" w:color="auto"/>
                <w:right w:val="none" w:sz="0" w:space="0" w:color="auto"/>
              </w:divBdr>
              <w:divsChild>
                <w:div w:id="76349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906511">
      <w:bodyDiv w:val="1"/>
      <w:marLeft w:val="0"/>
      <w:marRight w:val="0"/>
      <w:marTop w:val="0"/>
      <w:marBottom w:val="0"/>
      <w:divBdr>
        <w:top w:val="none" w:sz="0" w:space="0" w:color="auto"/>
        <w:left w:val="none" w:sz="0" w:space="0" w:color="auto"/>
        <w:bottom w:val="none" w:sz="0" w:space="0" w:color="auto"/>
        <w:right w:val="none" w:sz="0" w:space="0" w:color="auto"/>
      </w:divBdr>
    </w:div>
    <w:div w:id="1911192440">
      <w:bodyDiv w:val="1"/>
      <w:marLeft w:val="0"/>
      <w:marRight w:val="0"/>
      <w:marTop w:val="0"/>
      <w:marBottom w:val="0"/>
      <w:divBdr>
        <w:top w:val="none" w:sz="0" w:space="0" w:color="auto"/>
        <w:left w:val="none" w:sz="0" w:space="0" w:color="auto"/>
        <w:bottom w:val="none" w:sz="0" w:space="0" w:color="auto"/>
        <w:right w:val="none" w:sz="0" w:space="0" w:color="auto"/>
      </w:divBdr>
    </w:div>
    <w:div w:id="1914123072">
      <w:bodyDiv w:val="1"/>
      <w:marLeft w:val="0"/>
      <w:marRight w:val="0"/>
      <w:marTop w:val="0"/>
      <w:marBottom w:val="0"/>
      <w:divBdr>
        <w:top w:val="none" w:sz="0" w:space="0" w:color="auto"/>
        <w:left w:val="none" w:sz="0" w:space="0" w:color="auto"/>
        <w:bottom w:val="none" w:sz="0" w:space="0" w:color="auto"/>
        <w:right w:val="none" w:sz="0" w:space="0" w:color="auto"/>
      </w:divBdr>
    </w:div>
    <w:div w:id="1946812767">
      <w:bodyDiv w:val="1"/>
      <w:marLeft w:val="0"/>
      <w:marRight w:val="0"/>
      <w:marTop w:val="0"/>
      <w:marBottom w:val="0"/>
      <w:divBdr>
        <w:top w:val="none" w:sz="0" w:space="0" w:color="auto"/>
        <w:left w:val="none" w:sz="0" w:space="0" w:color="auto"/>
        <w:bottom w:val="none" w:sz="0" w:space="0" w:color="auto"/>
        <w:right w:val="none" w:sz="0" w:space="0" w:color="auto"/>
      </w:divBdr>
    </w:div>
    <w:div w:id="1985817456">
      <w:bodyDiv w:val="1"/>
      <w:marLeft w:val="0"/>
      <w:marRight w:val="0"/>
      <w:marTop w:val="0"/>
      <w:marBottom w:val="0"/>
      <w:divBdr>
        <w:top w:val="none" w:sz="0" w:space="0" w:color="auto"/>
        <w:left w:val="none" w:sz="0" w:space="0" w:color="auto"/>
        <w:bottom w:val="none" w:sz="0" w:space="0" w:color="auto"/>
        <w:right w:val="none" w:sz="0" w:space="0" w:color="auto"/>
      </w:divBdr>
    </w:div>
    <w:div w:id="2052680404">
      <w:bodyDiv w:val="1"/>
      <w:marLeft w:val="0"/>
      <w:marRight w:val="0"/>
      <w:marTop w:val="0"/>
      <w:marBottom w:val="0"/>
      <w:divBdr>
        <w:top w:val="none" w:sz="0" w:space="0" w:color="auto"/>
        <w:left w:val="none" w:sz="0" w:space="0" w:color="auto"/>
        <w:bottom w:val="none" w:sz="0" w:space="0" w:color="auto"/>
        <w:right w:val="none" w:sz="0" w:space="0" w:color="auto"/>
      </w:divBdr>
    </w:div>
    <w:div w:id="206741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english-surveillance-programme-antimicrobial-utilisation-and-resistance-espaur-report" TargetMode="External"/><Relationship Id="rId18" Type="http://schemas.openxmlformats.org/officeDocument/2006/relationships/hyperlink" Target="https://www.who.int/antimicrobial-resistance/publications/global-action-plan/en/" TargetMode="External"/><Relationship Id="rId26" Type="http://schemas.openxmlformats.org/officeDocument/2006/relationships/hyperlink" Target="https://www.gov.uk/government/collections/all-our-health-personalised-care-and-population-health" TargetMode="External"/><Relationship Id="rId39" Type="http://schemas.openxmlformats.org/officeDocument/2006/relationships/hyperlink" Target="https://www.nice.org.uk/guidance/qs61" TargetMode="External"/><Relationship Id="rId21" Type="http://schemas.openxmlformats.org/officeDocument/2006/relationships/hyperlink" Target="https://www.rcgp.org.uk/clinical-and-research/resources/toolkits/target-antibiotic-toolkit.aspx" TargetMode="External"/><Relationship Id="rId34" Type="http://schemas.openxmlformats.org/officeDocument/2006/relationships/hyperlink" Target="https://improvement.nhs.uk/resources/epic3-guidelines-preventing-healthcare-associated-infections/" TargetMode="External"/><Relationship Id="rId42" Type="http://schemas.openxmlformats.org/officeDocument/2006/relationships/hyperlink" Target="https://improvement.nhs.uk/resources/fighting-antimicrobial-resistance/" TargetMode="External"/><Relationship Id="rId47" Type="http://schemas.openxmlformats.org/officeDocument/2006/relationships/hyperlink" Target="https://www.gov.uk/government/collections/antimicrobial-resistance-amr-information-and-resources" TargetMode="External"/><Relationship Id="rId50" Type="http://schemas.openxmlformats.org/officeDocument/2006/relationships/hyperlink" Target="https://ec.europa.eu/health/amr/sites/amr/files/amr_action_plan_2017_en.pdf"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ice.org.uk/Media/Default/About/what-we-do/Into-practice/measuring-uptake/NICEimpact-antimicrobial-resistance.pdf" TargetMode="External"/><Relationship Id="rId17" Type="http://schemas.openxmlformats.org/officeDocument/2006/relationships/hyperlink" Target="https://amr-review.org/Publications.html" TargetMode="External"/><Relationship Id="rId25" Type="http://schemas.openxmlformats.org/officeDocument/2006/relationships/hyperlink" Target="https://www.gov.uk/government/publications/health-matters-preventing-infections-and-reducing-amr" TargetMode="External"/><Relationship Id="rId33" Type="http://schemas.openxmlformats.org/officeDocument/2006/relationships/hyperlink" Target="https://www.gov.uk/government/publications/antimicrobial-stewardship-start-smart-then-focus" TargetMode="External"/><Relationship Id="rId38" Type="http://schemas.openxmlformats.org/officeDocument/2006/relationships/hyperlink" Target="https://www.nice.org.uk/guidance/ng15" TargetMode="External"/><Relationship Id="rId46" Type="http://schemas.openxmlformats.org/officeDocument/2006/relationships/hyperlink" Target="https://www.hee.nhs.uk/our-work/antimicrobial-resistance" TargetMode="External"/><Relationship Id="rId2" Type="http://schemas.openxmlformats.org/officeDocument/2006/relationships/numbering" Target="numbering.xml"/><Relationship Id="rId16" Type="http://schemas.openxmlformats.org/officeDocument/2006/relationships/hyperlink" Target="https://www.hee.nhs.uk/sites/default/files/documents/Full%20report%20-%20Embedding%20national%20antimicrobial%20prescribing%20and%20stewardship%20competences%20into%20curricula.pdf" TargetMode="External"/><Relationship Id="rId20" Type="http://schemas.openxmlformats.org/officeDocument/2006/relationships/hyperlink" Target="https://fingertips.phe.org.uk/profile/amr-local-indicators/data" TargetMode="External"/><Relationship Id="rId29" Type="http://schemas.openxmlformats.org/officeDocument/2006/relationships/hyperlink" Target="http://bsac.org.uk/practical-guide-to-antimicrobial-stewardship-in-hospitals/" TargetMode="External"/><Relationship Id="rId41" Type="http://schemas.openxmlformats.org/officeDocument/2006/relationships/hyperlink" Target="https://campaignresources.phe.gov.uk/resources/campaigns/58-keep-antibiotics-working"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uk-20-year-vision-for-antimicrobial-resistance" TargetMode="External"/><Relationship Id="rId24" Type="http://schemas.openxmlformats.org/officeDocument/2006/relationships/hyperlink" Target="https://www.gov.uk/government/publications/health-matters-antimicrobial-resistance" TargetMode="External"/><Relationship Id="rId32" Type="http://schemas.openxmlformats.org/officeDocument/2006/relationships/hyperlink" Target="https://www.gov.uk/government/publications/the-health-and-social-care-act-2008-code-of-practice-on-the-prevention-and-control-of-infections-and-related-guidance" TargetMode="External"/><Relationship Id="rId37" Type="http://schemas.openxmlformats.org/officeDocument/2006/relationships/hyperlink" Target="https://www.nice.org.uk/guidance/qs113" TargetMode="External"/><Relationship Id="rId40" Type="http://schemas.openxmlformats.org/officeDocument/2006/relationships/hyperlink" Target="https://antibioticguardian.com/" TargetMode="External"/><Relationship Id="rId45" Type="http://schemas.openxmlformats.org/officeDocument/2006/relationships/hyperlink" Target="https://www.e-lfh.org.uk/programmes/antimicrobial-resistance-and-infections/" TargetMode="External"/><Relationship Id="rId53" Type="http://schemas.openxmlformats.org/officeDocument/2006/relationships/hyperlink" Target="https://www.gov.uk/government/publications/uk-20-year-vision-for-antimicrobial-resistance" TargetMode="External"/><Relationship Id="rId5" Type="http://schemas.openxmlformats.org/officeDocument/2006/relationships/webSettings" Target="webSettings.xml"/><Relationship Id="rId15" Type="http://schemas.openxmlformats.org/officeDocument/2006/relationships/hyperlink" Target="https://www.gov.uk/government/publications/antimicrobial-resistance-roundtable-summary-report" TargetMode="External"/><Relationship Id="rId23" Type="http://schemas.openxmlformats.org/officeDocument/2006/relationships/hyperlink" Target="https://www.gov.uk/government/collections/health-matters-public-health-issues" TargetMode="External"/><Relationship Id="rId28" Type="http://schemas.openxmlformats.org/officeDocument/2006/relationships/hyperlink" Target="https://www.gov.uk/government/publications/antimicrobial-resistance-amr-applying-all-our-health" TargetMode="External"/><Relationship Id="rId36" Type="http://schemas.openxmlformats.org/officeDocument/2006/relationships/hyperlink" Target="https://www.nice.org.uk/guidance/qs121" TargetMode="External"/><Relationship Id="rId49" Type="http://schemas.openxmlformats.org/officeDocument/2006/relationships/hyperlink" Target="https://www.who.int/antimicrobial-resistance/publications/global-action-plan/en/" TargetMode="External"/><Relationship Id="rId10" Type="http://schemas.openxmlformats.org/officeDocument/2006/relationships/hyperlink" Target="https://www.gov.uk/government/publications/uk-5-year-action-plan-for-antimicrobial-resistance-2019-to-2024" TargetMode="External"/><Relationship Id="rId19" Type="http://schemas.openxmlformats.org/officeDocument/2006/relationships/hyperlink" Target="https://www.gov.uk/government/publications/chief-medical-officer-annual-report-volume-2" TargetMode="External"/><Relationship Id="rId31" Type="http://schemas.openxmlformats.org/officeDocument/2006/relationships/hyperlink" Target="https://www.who.int/foodsafety/publications/agisar_guidance2017/en/" TargetMode="External"/><Relationship Id="rId44" Type="http://schemas.openxmlformats.org/officeDocument/2006/relationships/hyperlink" Target="http://publichealth.ipsf.org/antimicrobial-resistance-awareness/amr-campaign-kit/" TargetMode="External"/><Relationship Id="rId52" Type="http://schemas.openxmlformats.org/officeDocument/2006/relationships/hyperlink" Target="https://www.gov.uk/government/publications/uk-5-year-action-plan-for-antimicrobial-resistance-2019-to-2024" TargetMode="External"/><Relationship Id="rId4" Type="http://schemas.openxmlformats.org/officeDocument/2006/relationships/settings" Target="settings.xml"/><Relationship Id="rId9" Type="http://schemas.openxmlformats.org/officeDocument/2006/relationships/hyperlink" Target="https://www.longtermplan.nhs.uk/publication/nhs-long-term-plan/" TargetMode="External"/><Relationship Id="rId14" Type="http://schemas.openxmlformats.org/officeDocument/2006/relationships/hyperlink" Target="https://publications.parliament.uk/pa/cm201719/cmselect/cmhealth/962/962.pdf" TargetMode="External"/><Relationship Id="rId22" Type="http://schemas.openxmlformats.org/officeDocument/2006/relationships/hyperlink" Target="https://www.gov.uk/guidance/dental-antimicrobial-stewardship-toolkit" TargetMode="External"/><Relationship Id="rId27" Type="http://schemas.openxmlformats.org/officeDocument/2006/relationships/hyperlink" Target="https://www.gov.uk/government/publications/all-our-health-about-the-framework" TargetMode="External"/><Relationship Id="rId30" Type="http://schemas.openxmlformats.org/officeDocument/2006/relationships/hyperlink" Target="https://www.gov.uk/government/publications/antimicrobial-resistance-resource-handbook" TargetMode="External"/><Relationship Id="rId35" Type="http://schemas.openxmlformats.org/officeDocument/2006/relationships/hyperlink" Target="https://www.nice.org.uk/guidance/ng63" TargetMode="External"/><Relationship Id="rId43" Type="http://schemas.openxmlformats.org/officeDocument/2006/relationships/hyperlink" Target="https://www.nihr.ac.uk/explore-nihr/campaigns/tackling-antimicrobial-resistance.htm" TargetMode="External"/><Relationship Id="rId48" Type="http://schemas.openxmlformats.org/officeDocument/2006/relationships/hyperlink" Target="https://amr-review.org/sites/default/files/AMR%20Review%20Paper%20-%20Tackling%20a%20crisis%20for%20the%20health%20and%20wealth%20of%20nations_1.pdf"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www.gov.uk/government/publications/uk-5-year-antimicrobial-resistance-strategy-2013-to-2018"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59D53-34BF-4491-B56D-BBFE82783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3227</Words>
  <Characters>18400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Fennie Gibbs</dc:creator>
  <cp:keywords/>
  <dc:description/>
  <cp:lastModifiedBy>Fennie Gibbs</cp:lastModifiedBy>
  <cp:revision>3</cp:revision>
  <dcterms:created xsi:type="dcterms:W3CDTF">2019-09-24T15:25:00Z</dcterms:created>
  <dcterms:modified xsi:type="dcterms:W3CDTF">2020-01-27T10:49:00Z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