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934" w:rsidRDefault="000A1934" w:rsidP="005D44D4"/>
    <w:p w:rsidR="000D659D" w:rsidRDefault="000D659D" w:rsidP="005D44D4"/>
    <w:p w:rsidR="00D51AF2" w:rsidRDefault="00743E91" w:rsidP="005D44D4">
      <w:r>
        <w:rPr>
          <w:noProof/>
          <w:sz w:val="20"/>
          <w:lang w:eastAsia="en-GB"/>
        </w:rPr>
        <w:drawing>
          <wp:anchor distT="0" distB="0" distL="114300" distR="114300" simplePos="0" relativeHeight="251665408" behindDoc="0" locked="0" layoutInCell="1" allowOverlap="1" wp14:anchorId="5E06232B" wp14:editId="2C800921">
            <wp:simplePos x="0" y="0"/>
            <wp:positionH relativeFrom="column">
              <wp:posOffset>-770890</wp:posOffset>
            </wp:positionH>
            <wp:positionV relativeFrom="paragraph">
              <wp:posOffset>-1109345</wp:posOffset>
            </wp:positionV>
            <wp:extent cx="4062730" cy="2011680"/>
            <wp:effectExtent l="0" t="0" r="0" b="7620"/>
            <wp:wrapNone/>
            <wp:docPr id="8" name="Picture 8"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899" w:rsidRDefault="006C4899" w:rsidP="005D44D4"/>
    <w:p w:rsidR="006C4899" w:rsidRDefault="006C4899" w:rsidP="005D44D4"/>
    <w:p w:rsidR="006C4899" w:rsidRDefault="006C4899" w:rsidP="005D44D4"/>
    <w:p w:rsidR="006C4899" w:rsidRDefault="006C4899" w:rsidP="005D44D4"/>
    <w:p w:rsidR="006C4899" w:rsidRDefault="006C4899" w:rsidP="005D44D4"/>
    <w:tbl>
      <w:tblPr>
        <w:tblStyle w:val="TableGrid"/>
        <w:tblpPr w:leftFromText="180" w:rightFromText="180" w:vertAnchor="text" w:horzAnchor="margin" w:tblpXSpec="center" w:tblpY="176"/>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0B2133" w:rsidTr="000B2133">
        <w:trPr>
          <w:cnfStyle w:val="100000000000" w:firstRow="1" w:lastRow="0" w:firstColumn="0" w:lastColumn="0" w:oddVBand="0" w:evenVBand="0" w:oddHBand="0" w:evenHBand="0" w:firstRowFirstColumn="0" w:firstRowLastColumn="0" w:lastRowFirstColumn="0" w:lastRowLastColumn="0"/>
          <w:trHeight w:val="159"/>
        </w:trPr>
        <w:tc>
          <w:tcPr>
            <w:tcW w:w="12049" w:type="dxa"/>
            <w:shd w:val="clear" w:color="auto" w:fill="01D1AE"/>
          </w:tcPr>
          <w:p w:rsidR="000B2133" w:rsidRPr="00D67F56" w:rsidRDefault="000B2133" w:rsidP="000B2133">
            <w:pPr>
              <w:rPr>
                <w:sz w:val="16"/>
                <w:szCs w:val="16"/>
              </w:rPr>
            </w:pPr>
          </w:p>
        </w:tc>
      </w:tr>
      <w:tr w:rsidR="000B2133" w:rsidRPr="004439C5" w:rsidTr="000B2133">
        <w:trPr>
          <w:trHeight w:val="1566"/>
        </w:trPr>
        <w:tc>
          <w:tcPr>
            <w:tcW w:w="12049" w:type="dxa"/>
            <w:shd w:val="clear" w:color="auto" w:fill="98002E"/>
          </w:tcPr>
          <w:p w:rsidR="000B2133" w:rsidRPr="0008434F" w:rsidRDefault="000B2133" w:rsidP="000B2133">
            <w:pPr>
              <w:pStyle w:val="Title"/>
              <w:ind w:left="1026"/>
              <w:rPr>
                <w:rFonts w:cs="Arial"/>
              </w:rPr>
            </w:pPr>
            <w:r w:rsidRPr="00FF2672">
              <w:rPr>
                <w:rFonts w:cs="Arial"/>
                <w:noProof/>
                <w:lang w:eastAsia="en-GB"/>
              </w:rPr>
              <mc:AlternateContent>
                <mc:Choice Requires="wps">
                  <w:drawing>
                    <wp:anchor distT="0" distB="0" distL="114300" distR="114300" simplePos="0" relativeHeight="251661312" behindDoc="0" locked="0" layoutInCell="1" allowOverlap="1" wp14:anchorId="6E3513C3" wp14:editId="05440107">
                      <wp:simplePos x="0" y="0"/>
                      <wp:positionH relativeFrom="column">
                        <wp:posOffset>509270</wp:posOffset>
                      </wp:positionH>
                      <wp:positionV relativeFrom="paragraph">
                        <wp:posOffset>22225</wp:posOffset>
                      </wp:positionV>
                      <wp:extent cx="6753225" cy="981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81075"/>
                              </a:xfrm>
                              <a:prstGeom prst="rect">
                                <a:avLst/>
                              </a:prstGeom>
                              <a:noFill/>
                              <a:ln w="9525">
                                <a:noFill/>
                                <a:miter lim="800000"/>
                                <a:headEnd/>
                                <a:tailEnd/>
                              </a:ln>
                            </wps:spPr>
                            <wps:txbx>
                              <w:txbxContent>
                                <w:p w:rsidR="000B2133" w:rsidRPr="001104A8" w:rsidRDefault="003F6A0B" w:rsidP="000B2133">
                                  <w:pPr>
                                    <w:rPr>
                                      <w:b/>
                                      <w:color w:val="FFFFFF" w:themeColor="background1"/>
                                      <w:sz w:val="66"/>
                                      <w:szCs w:val="66"/>
                                    </w:rPr>
                                  </w:pPr>
                                  <w:r>
                                    <w:rPr>
                                      <w:b/>
                                      <w:color w:val="FFFFFF" w:themeColor="background1"/>
                                      <w:sz w:val="66"/>
                                      <w:szCs w:val="66"/>
                                    </w:rPr>
                                    <w:t xml:space="preserve">Dementia and </w:t>
                                  </w:r>
                                  <w:r w:rsidR="00515F9C">
                                    <w:rPr>
                                      <w:b/>
                                      <w:color w:val="FFFFFF" w:themeColor="background1"/>
                                      <w:sz w:val="66"/>
                                      <w:szCs w:val="66"/>
                                    </w:rPr>
                                    <w:t>Ageing Well</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0B2133" w:rsidRPr="007B1022">
                                    <w:rPr>
                                      <w:b/>
                                      <w:color w:val="FFFFFF" w:themeColor="background1"/>
                                      <w:sz w:val="20"/>
                                    </w:rPr>
                                    <w:t xml:space="preserve"> </w:t>
                                  </w:r>
                                  <w:r w:rsidR="00515F9C">
                                    <w:rPr>
                                      <w:b/>
                                      <w:color w:val="FFFFFF" w:themeColor="background1"/>
                                      <w:sz w:val="20"/>
                                    </w:rPr>
                                    <w:t>December</w:t>
                                  </w:r>
                                  <w:r w:rsidR="00965FF2">
                                    <w:rPr>
                                      <w:b/>
                                      <w:color w:val="FFFFFF" w:themeColor="background1"/>
                                      <w:sz w:val="20"/>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513C3" id="_x0000_t202" coordsize="21600,21600" o:spt="202" path="m,l,21600r21600,l21600,xe">
                      <v:stroke joinstyle="miter"/>
                      <v:path gradientshapeok="t" o:connecttype="rect"/>
                    </v:shapetype>
                    <v:shape id="Text Box 2" o:spid="_x0000_s1026" type="#_x0000_t202" style="position:absolute;left:0;text-align:left;margin-left:40.1pt;margin-top:1.75pt;width:531.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" filled="f" stroked="f">
                      <v:textbox>
                        <w:txbxContent>
                          <w:p w:rsidR="000B2133" w:rsidRPr="001104A8" w:rsidRDefault="003F6A0B" w:rsidP="000B2133">
                            <w:pPr>
                              <w:rPr>
                                <w:b/>
                                <w:color w:val="FFFFFF" w:themeColor="background1"/>
                                <w:sz w:val="66"/>
                                <w:szCs w:val="66"/>
                              </w:rPr>
                            </w:pPr>
                            <w:r>
                              <w:rPr>
                                <w:b/>
                                <w:color w:val="FFFFFF" w:themeColor="background1"/>
                                <w:sz w:val="66"/>
                                <w:szCs w:val="66"/>
                              </w:rPr>
                              <w:t xml:space="preserve">Dementia and </w:t>
                            </w:r>
                            <w:r w:rsidR="00515F9C">
                              <w:rPr>
                                <w:b/>
                                <w:color w:val="FFFFFF" w:themeColor="background1"/>
                                <w:sz w:val="66"/>
                                <w:szCs w:val="66"/>
                              </w:rPr>
                              <w:t>Ageing Well</w:t>
                            </w:r>
                          </w:p>
                          <w:p w:rsidR="000B2133" w:rsidRPr="000D1BDA" w:rsidRDefault="000B2133" w:rsidP="000B2133">
                            <w:pPr>
                              <w:rPr>
                                <w:b/>
                                <w:color w:val="FFFFFF" w:themeColor="background1"/>
                                <w:sz w:val="10"/>
                                <w:szCs w:val="8"/>
                              </w:rPr>
                            </w:pPr>
                          </w:p>
                          <w:p w:rsidR="000B2133" w:rsidRPr="007B1022" w:rsidRDefault="001644AD" w:rsidP="000B2133">
                            <w:pPr>
                              <w:rPr>
                                <w:b/>
                                <w:color w:val="FFFFFF" w:themeColor="background1"/>
                                <w:sz w:val="20"/>
                              </w:rPr>
                            </w:pPr>
                            <w:r>
                              <w:rPr>
                                <w:b/>
                                <w:color w:val="FFFFFF" w:themeColor="background1"/>
                                <w:sz w:val="20"/>
                              </w:rPr>
                              <w:t>Briefing</w:t>
                            </w:r>
                            <w:r w:rsidR="000B2133" w:rsidRPr="007B1022">
                              <w:rPr>
                                <w:b/>
                                <w:color w:val="FFFFFF" w:themeColor="background1"/>
                                <w:sz w:val="20"/>
                              </w:rPr>
                              <w:t xml:space="preserve"> produced by Public Health England</w:t>
                            </w:r>
                            <w:r w:rsidR="007E4EDD">
                              <w:rPr>
                                <w:b/>
                                <w:color w:val="FFFFFF" w:themeColor="background1"/>
                                <w:sz w:val="20"/>
                              </w:rPr>
                              <w:t>’s</w:t>
                            </w:r>
                            <w:r w:rsidR="000B2133" w:rsidRPr="007B1022">
                              <w:rPr>
                                <w:b/>
                                <w:color w:val="FFFFFF" w:themeColor="background1"/>
                                <w:sz w:val="20"/>
                              </w:rPr>
                              <w:t xml:space="preserve"> </w:t>
                            </w:r>
                            <w:r w:rsidR="005F373F">
                              <w:rPr>
                                <w:b/>
                                <w:color w:val="FFFFFF" w:themeColor="background1"/>
                                <w:sz w:val="20"/>
                              </w:rPr>
                              <w:t>East of England H</w:t>
                            </w:r>
                            <w:r w:rsidR="000B2133" w:rsidRPr="007B1022">
                              <w:rPr>
                                <w:b/>
                                <w:color w:val="FFFFFF" w:themeColor="background1"/>
                                <w:sz w:val="20"/>
                              </w:rPr>
                              <w:t xml:space="preserve">ealth &amp; Wellbeing Team </w:t>
                            </w:r>
                            <w:r w:rsidR="000B2133">
                              <w:rPr>
                                <w:b/>
                                <w:color w:val="FFFFFF" w:themeColor="background1"/>
                                <w:sz w:val="20"/>
                              </w:rPr>
                              <w:t>–</w:t>
                            </w:r>
                            <w:r w:rsidR="000B2133" w:rsidRPr="007B1022">
                              <w:rPr>
                                <w:b/>
                                <w:color w:val="FFFFFF" w:themeColor="background1"/>
                                <w:sz w:val="20"/>
                              </w:rPr>
                              <w:t xml:space="preserve"> </w:t>
                            </w:r>
                            <w:r w:rsidR="00515F9C">
                              <w:rPr>
                                <w:b/>
                                <w:color w:val="FFFFFF" w:themeColor="background1"/>
                                <w:sz w:val="20"/>
                              </w:rPr>
                              <w:t>December</w:t>
                            </w:r>
                            <w:r w:rsidR="00965FF2">
                              <w:rPr>
                                <w:b/>
                                <w:color w:val="FFFFFF" w:themeColor="background1"/>
                                <w:sz w:val="20"/>
                              </w:rPr>
                              <w:t xml:space="preserve"> 2018</w:t>
                            </w:r>
                          </w:p>
                        </w:txbxContent>
                      </v:textbox>
                    </v:shape>
                  </w:pict>
                </mc:Fallback>
              </mc:AlternateContent>
            </w:r>
          </w:p>
        </w:tc>
      </w:tr>
    </w:tbl>
    <w:p w:rsidR="006C4899" w:rsidRPr="000B2133" w:rsidRDefault="006C4899" w:rsidP="005D44D4">
      <w:pPr>
        <w:rPr>
          <w:sz w:val="8"/>
          <w:szCs w:val="8"/>
        </w:rPr>
      </w:pPr>
    </w:p>
    <w:p w:rsidR="0044159B" w:rsidRPr="00416E9E" w:rsidRDefault="0044159B" w:rsidP="0044159B">
      <w:pPr>
        <w:autoSpaceDE w:val="0"/>
        <w:autoSpaceDN w:val="0"/>
        <w:adjustRightInd w:val="0"/>
        <w:spacing w:before="240"/>
        <w:rPr>
          <w:color w:val="000000"/>
          <w:sz w:val="22"/>
          <w:szCs w:val="24"/>
        </w:rPr>
      </w:pPr>
      <w:r>
        <w:rPr>
          <w:color w:val="000000"/>
          <w:szCs w:val="24"/>
        </w:rPr>
        <w:t>This briefing</w:t>
      </w:r>
      <w:r w:rsidRPr="00FF7911">
        <w:rPr>
          <w:color w:val="000000"/>
          <w:szCs w:val="24"/>
        </w:rPr>
        <w:t xml:space="preserve"> </w:t>
      </w:r>
      <w:r>
        <w:rPr>
          <w:color w:val="000000"/>
          <w:szCs w:val="24"/>
        </w:rPr>
        <w:t>paper has been</w:t>
      </w:r>
      <w:r w:rsidRPr="00FF7911">
        <w:rPr>
          <w:color w:val="000000"/>
          <w:szCs w:val="24"/>
        </w:rPr>
        <w:t xml:space="preserve"> </w:t>
      </w:r>
      <w:r>
        <w:rPr>
          <w:color w:val="000000"/>
          <w:szCs w:val="24"/>
        </w:rPr>
        <w:t>produc</w:t>
      </w:r>
      <w:r w:rsidRPr="00FF7911">
        <w:rPr>
          <w:color w:val="000000"/>
          <w:szCs w:val="24"/>
        </w:rPr>
        <w:t>ed by Public Health England</w:t>
      </w:r>
      <w:r>
        <w:rPr>
          <w:color w:val="000000"/>
          <w:szCs w:val="24"/>
        </w:rPr>
        <w:t xml:space="preserve">’s East of England Health and Wellbeing Team. It is designed to provide easy access to key reference points and useful resources around </w:t>
      </w:r>
      <w:r w:rsidRPr="00FF7911">
        <w:rPr>
          <w:color w:val="000000"/>
          <w:szCs w:val="24"/>
        </w:rPr>
        <w:t xml:space="preserve">the </w:t>
      </w:r>
      <w:r w:rsidR="003F6A0B">
        <w:rPr>
          <w:color w:val="000000"/>
          <w:szCs w:val="24"/>
        </w:rPr>
        <w:t xml:space="preserve">dementia and </w:t>
      </w:r>
      <w:r w:rsidR="00515F9C">
        <w:rPr>
          <w:color w:val="000000"/>
          <w:szCs w:val="24"/>
        </w:rPr>
        <w:t>ageing well</w:t>
      </w:r>
      <w:r>
        <w:rPr>
          <w:color w:val="000000"/>
          <w:szCs w:val="24"/>
        </w:rPr>
        <w:t xml:space="preserve"> agenda and will be updated on a regular basis as new information becomes available. The information in each section is presented chronologically, with the most recent first.</w:t>
      </w:r>
    </w:p>
    <w:p w:rsidR="009463AD" w:rsidRPr="006C6273" w:rsidRDefault="009463AD" w:rsidP="00965FF2">
      <w:pPr>
        <w:autoSpaceDE w:val="0"/>
        <w:autoSpaceDN w:val="0"/>
        <w:adjustRightInd w:val="0"/>
        <w:spacing w:line="276" w:lineRule="auto"/>
        <w:rPr>
          <w:b/>
          <w:color w:val="98002E"/>
          <w:sz w:val="8"/>
          <w:szCs w:val="8"/>
          <w:lang w:val="en"/>
        </w:rPr>
      </w:pPr>
    </w:p>
    <w:tbl>
      <w:tblPr>
        <w:tblStyle w:val="TableGrid"/>
        <w:tblpPr w:leftFromText="180" w:rightFromText="180" w:vertAnchor="text" w:horzAnchor="margin" w:tblpXSpec="center" w:tblpY="61"/>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002E"/>
        <w:tblLook w:val="04A0" w:firstRow="1" w:lastRow="0" w:firstColumn="1" w:lastColumn="0" w:noHBand="0" w:noVBand="1"/>
      </w:tblPr>
      <w:tblGrid>
        <w:gridCol w:w="12049"/>
      </w:tblGrid>
      <w:tr w:rsidR="00AF2F9C" w:rsidTr="00655BCD">
        <w:trPr>
          <w:cnfStyle w:val="100000000000" w:firstRow="1" w:lastRow="0" w:firstColumn="0" w:lastColumn="0" w:oddVBand="0" w:evenVBand="0" w:oddHBand="0" w:evenHBand="0" w:firstRowFirstColumn="0" w:firstRowLastColumn="0" w:lastRowFirstColumn="0" w:lastRowLastColumn="0"/>
          <w:trHeight w:val="584"/>
        </w:trPr>
        <w:tc>
          <w:tcPr>
            <w:tcW w:w="12049" w:type="dxa"/>
            <w:shd w:val="clear" w:color="auto" w:fill="98002E"/>
          </w:tcPr>
          <w:p w:rsidR="00AF2F9C" w:rsidRDefault="000B2133" w:rsidP="004C24E3">
            <w:pPr>
              <w:pStyle w:val="PHEBodycopy"/>
              <w:ind w:left="1026"/>
            </w:pPr>
            <w:r>
              <w:rPr>
                <w:sz w:val="32"/>
              </w:rPr>
              <w:t xml:space="preserve">National </w:t>
            </w:r>
            <w:r w:rsidR="004C24E3">
              <w:rPr>
                <w:sz w:val="32"/>
              </w:rPr>
              <w:t>policy and reports</w:t>
            </w:r>
          </w:p>
        </w:tc>
      </w:tr>
    </w:tbl>
    <w:p w:rsidR="00630B75" w:rsidRPr="001B2907" w:rsidRDefault="00630B75" w:rsidP="003F5203">
      <w:pPr>
        <w:spacing w:line="276" w:lineRule="auto"/>
        <w:rPr>
          <w:sz w:val="4"/>
          <w:szCs w:val="4"/>
        </w:rPr>
      </w:pPr>
    </w:p>
    <w:tbl>
      <w:tblPr>
        <w:tblW w:w="4745" w:type="pct"/>
        <w:tblCellSpacing w:w="0" w:type="dxa"/>
        <w:tblCellMar>
          <w:left w:w="0" w:type="dxa"/>
          <w:right w:w="0" w:type="dxa"/>
        </w:tblCellMar>
        <w:tblLook w:val="04A0" w:firstRow="1" w:lastRow="0" w:firstColumn="1" w:lastColumn="0" w:noHBand="0" w:noVBand="1"/>
      </w:tblPr>
      <w:tblGrid>
        <w:gridCol w:w="9361"/>
      </w:tblGrid>
      <w:tr w:rsidR="00AD4F59" w:rsidRPr="00AD4F59" w:rsidTr="00957A9C">
        <w:trPr>
          <w:tblCellSpacing w:w="0" w:type="dxa"/>
        </w:trPr>
        <w:tc>
          <w:tcPr>
            <w:tcW w:w="9361" w:type="dxa"/>
            <w:hideMark/>
          </w:tcPr>
          <w:p w:rsidR="00AD4F59" w:rsidRPr="00AD4F59" w:rsidRDefault="00AD4F59">
            <w:pPr>
              <w:pStyle w:val="NormalWeb"/>
              <w:spacing w:before="0" w:beforeAutospacing="0" w:after="0" w:afterAutospacing="0"/>
              <w:rPr>
                <w:rFonts w:ascii="Arial" w:hAnsi="Arial" w:cs="Arial"/>
                <w:color w:val="381D59"/>
              </w:rPr>
            </w:pPr>
          </w:p>
        </w:tc>
      </w:tr>
    </w:tbl>
    <w:p w:rsidR="00AD4F59" w:rsidRPr="005938F8" w:rsidRDefault="00AD4F59" w:rsidP="00AD4F59">
      <w:pPr>
        <w:rPr>
          <w:rFonts w:eastAsiaTheme="minorHAnsi"/>
          <w:b/>
          <w:vanish/>
          <w:color w:val="98002E"/>
          <w:szCs w:val="24"/>
        </w:rPr>
      </w:pPr>
    </w:p>
    <w:p w:rsidR="00EC6754" w:rsidRPr="005938F8" w:rsidRDefault="00EC6754" w:rsidP="00EC6754">
      <w:pPr>
        <w:pStyle w:val="Heading3"/>
        <w:rPr>
          <w:rFonts w:eastAsiaTheme="minorHAnsi" w:cs="Arial"/>
          <w:b/>
          <w:vanish/>
          <w:sz w:val="24"/>
          <w:szCs w:val="24"/>
        </w:rPr>
      </w:pPr>
    </w:p>
    <w:p w:rsidR="006F1C6A" w:rsidRDefault="006F1C6A" w:rsidP="00840328">
      <w:pPr>
        <w:rPr>
          <w:b/>
          <w:color w:val="98002E"/>
        </w:rPr>
      </w:pPr>
      <w:bookmarkStart w:id="0" w:name="_Toc477080922"/>
    </w:p>
    <w:p w:rsidR="00874014" w:rsidRDefault="00515F9C" w:rsidP="004576E3">
      <w:pPr>
        <w:rPr>
          <w:b/>
          <w:lang w:val="en"/>
        </w:rPr>
      </w:pPr>
      <w:r>
        <w:rPr>
          <w:b/>
          <w:lang w:val="en"/>
        </w:rPr>
        <w:t>A Connected Society: A Strategy for Tackling Loneliness</w:t>
      </w:r>
    </w:p>
    <w:p w:rsidR="00515F9C" w:rsidRPr="00C97CE1" w:rsidRDefault="00515F9C" w:rsidP="004576E3">
      <w:pPr>
        <w:rPr>
          <w:lang w:val="en"/>
        </w:rPr>
      </w:pPr>
      <w:r>
        <w:rPr>
          <w:lang w:val="en"/>
        </w:rPr>
        <w:t xml:space="preserve">In </w:t>
      </w:r>
      <w:r w:rsidRPr="00515F9C">
        <w:rPr>
          <w:b/>
          <w:lang w:val="en"/>
        </w:rPr>
        <w:t>October 2018</w:t>
      </w:r>
      <w:r>
        <w:rPr>
          <w:lang w:val="en"/>
        </w:rPr>
        <w:t xml:space="preserve">, the Government published its first </w:t>
      </w:r>
      <w:hyperlink r:id="rId9" w:history="1">
        <w:r w:rsidRPr="00515F9C">
          <w:rPr>
            <w:rStyle w:val="Hyperlink"/>
            <w:b/>
            <w:u w:val="single"/>
            <w:lang w:val="en"/>
          </w:rPr>
          <w:t>loneliness strategy</w:t>
        </w:r>
      </w:hyperlink>
      <w:r w:rsidR="00C97CE1">
        <w:rPr>
          <w:lang w:val="en"/>
        </w:rPr>
        <w:t>. This strategy details the vision for addressi</w:t>
      </w:r>
      <w:r w:rsidR="00B152B2">
        <w:rPr>
          <w:lang w:val="en"/>
        </w:rPr>
        <w:t xml:space="preserve">ng this increasingly recognised public health issue. Feeling lonely often is linked to early deaths and increased risk in serious health implications such as coronary heart disease, stroke, cognitive decline and an increased risk in </w:t>
      </w:r>
      <w:proofErr w:type="spellStart"/>
      <w:r w:rsidR="00783630">
        <w:rPr>
          <w:lang w:val="en"/>
        </w:rPr>
        <w:t>Alzheimers</w:t>
      </w:r>
      <w:proofErr w:type="spellEnd"/>
      <w:r w:rsidR="00783630">
        <w:rPr>
          <w:lang w:val="en"/>
        </w:rPr>
        <w:t>, among others. Thi</w:t>
      </w:r>
      <w:r w:rsidR="002E1A29">
        <w:rPr>
          <w:lang w:val="en"/>
        </w:rPr>
        <w:t>s strategy</w:t>
      </w:r>
      <w:r w:rsidR="00B152B2">
        <w:rPr>
          <w:lang w:val="en"/>
        </w:rPr>
        <w:t xml:space="preserve"> </w:t>
      </w:r>
      <w:r w:rsidR="00C97CE1">
        <w:rPr>
          <w:lang w:val="en"/>
        </w:rPr>
        <w:t xml:space="preserve">brings together businesses, charities, community groups, health services and local authorities to raise awareness of loneliness and to support people build connections to ensure happier and healthier lives. </w:t>
      </w:r>
    </w:p>
    <w:p w:rsidR="00515F9C" w:rsidRDefault="00515F9C" w:rsidP="004576E3">
      <w:pPr>
        <w:rPr>
          <w:b/>
          <w:lang w:val="en"/>
        </w:rPr>
      </w:pPr>
    </w:p>
    <w:p w:rsidR="004576E3" w:rsidRPr="00D2107F" w:rsidRDefault="004576E3" w:rsidP="004576E3">
      <w:pPr>
        <w:rPr>
          <w:b/>
          <w:lang w:val="en"/>
        </w:rPr>
      </w:pPr>
      <w:r w:rsidRPr="00D2107F">
        <w:rPr>
          <w:b/>
          <w:lang w:val="en"/>
        </w:rPr>
        <w:t>All Our Health</w:t>
      </w:r>
    </w:p>
    <w:p w:rsidR="004576E3" w:rsidRDefault="004576E3" w:rsidP="004576E3">
      <w:pPr>
        <w:rPr>
          <w:lang w:val="en"/>
        </w:rPr>
      </w:pPr>
      <w:r w:rsidRPr="00D2107F">
        <w:rPr>
          <w:lang w:val="en"/>
        </w:rPr>
        <w:t xml:space="preserve">The PHE </w:t>
      </w:r>
      <w:hyperlink r:id="rId10" w:history="1">
        <w:r w:rsidRPr="004576E3">
          <w:rPr>
            <w:rStyle w:val="Hyperlink"/>
            <w:b/>
            <w:u w:val="single"/>
            <w:lang w:val="en"/>
          </w:rPr>
          <w:t>All Our Health framework</w:t>
        </w:r>
      </w:hyperlink>
      <w:r w:rsidRPr="00D2107F">
        <w:rPr>
          <w:lang w:val="en"/>
        </w:rPr>
        <w:t xml:space="preserve"> (</w:t>
      </w:r>
      <w:r w:rsidRPr="00D2107F">
        <w:rPr>
          <w:b/>
          <w:lang w:val="en"/>
        </w:rPr>
        <w:t>first published 2015, but evolving with latest updates in June 2018</w:t>
      </w:r>
      <w:r w:rsidRPr="00D2107F">
        <w:rPr>
          <w:lang w:val="en"/>
        </w:rPr>
        <w:t xml:space="preserve">) is a framework of evidence to help healthcare professionals in England understand and maximise the impact on improving health outcomes and reducing health inequalities. Since the publication of this framework, PHE has published a resource </w:t>
      </w:r>
      <w:hyperlink r:id="rId11" w:history="1">
        <w:r w:rsidRPr="004576E3">
          <w:rPr>
            <w:rStyle w:val="Hyperlink"/>
            <w:b/>
            <w:u w:val="single"/>
            <w:lang w:val="en"/>
          </w:rPr>
          <w:t>about the framework</w:t>
        </w:r>
      </w:hyperlink>
      <w:r w:rsidRPr="00D2107F">
        <w:rPr>
          <w:lang w:val="en"/>
        </w:rPr>
        <w:t xml:space="preserve"> and another piece of guidance around applying ‘All Our Health’</w:t>
      </w:r>
      <w:r>
        <w:rPr>
          <w:lang w:val="en"/>
        </w:rPr>
        <w:t xml:space="preserve"> in relation to </w:t>
      </w:r>
      <w:hyperlink r:id="rId12" w:history="1">
        <w:r w:rsidRPr="004576E3">
          <w:rPr>
            <w:rStyle w:val="Hyperlink"/>
            <w:b/>
            <w:u w:val="single"/>
            <w:lang w:val="en"/>
          </w:rPr>
          <w:t>dementia</w:t>
        </w:r>
      </w:hyperlink>
      <w:r>
        <w:rPr>
          <w:lang w:val="en"/>
        </w:rPr>
        <w:t xml:space="preserve"> (</w:t>
      </w:r>
      <w:r>
        <w:rPr>
          <w:b/>
          <w:lang w:val="en"/>
        </w:rPr>
        <w:t>January 2018</w:t>
      </w:r>
      <w:r>
        <w:rPr>
          <w:lang w:val="en"/>
        </w:rPr>
        <w:t>)</w:t>
      </w:r>
      <w:r w:rsidR="008A6947">
        <w:rPr>
          <w:lang w:val="en"/>
        </w:rPr>
        <w:t xml:space="preserve"> and </w:t>
      </w:r>
      <w:hyperlink r:id="rId13" w:history="1">
        <w:r w:rsidR="008A6947" w:rsidRPr="008A6947">
          <w:rPr>
            <w:rStyle w:val="Hyperlink"/>
            <w:b/>
            <w:u w:val="single"/>
            <w:lang w:val="en"/>
          </w:rPr>
          <w:t>falls</w:t>
        </w:r>
      </w:hyperlink>
      <w:r w:rsidR="008A6947">
        <w:rPr>
          <w:lang w:val="en"/>
        </w:rPr>
        <w:t xml:space="preserve"> (</w:t>
      </w:r>
      <w:r w:rsidR="008A6947" w:rsidRPr="008A6947">
        <w:rPr>
          <w:b/>
          <w:lang w:val="en"/>
        </w:rPr>
        <w:t>June 2018</w:t>
      </w:r>
      <w:r w:rsidR="008A6947">
        <w:rPr>
          <w:lang w:val="en"/>
        </w:rPr>
        <w:t>).</w:t>
      </w:r>
    </w:p>
    <w:p w:rsidR="00944E37" w:rsidRDefault="00944E37" w:rsidP="004576E3">
      <w:pPr>
        <w:rPr>
          <w:lang w:val="en"/>
        </w:rPr>
      </w:pPr>
    </w:p>
    <w:p w:rsidR="00944E37" w:rsidRPr="0025749D" w:rsidRDefault="00944E37" w:rsidP="00944E37">
      <w:pPr>
        <w:rPr>
          <w:b/>
        </w:rPr>
      </w:pPr>
      <w:r w:rsidRPr="0025749D">
        <w:rPr>
          <w:b/>
        </w:rPr>
        <w:t>The Association of Directors of Public H</w:t>
      </w:r>
      <w:r w:rsidR="00515F9C">
        <w:rPr>
          <w:b/>
        </w:rPr>
        <w:t>ealth (ADPH) Position Statement</w:t>
      </w:r>
    </w:p>
    <w:p w:rsidR="003674CD" w:rsidRDefault="00944E37" w:rsidP="00944E37">
      <w:r>
        <w:t xml:space="preserve">This ADPH </w:t>
      </w:r>
      <w:hyperlink r:id="rId14" w:history="1">
        <w:r w:rsidRPr="00944E37">
          <w:rPr>
            <w:rStyle w:val="Hyperlink"/>
            <w:b/>
            <w:u w:val="single"/>
          </w:rPr>
          <w:t>policy position document</w:t>
        </w:r>
      </w:hyperlink>
      <w:r>
        <w:t xml:space="preserve"> (</w:t>
      </w:r>
      <w:r w:rsidRPr="0025749D">
        <w:rPr>
          <w:b/>
        </w:rPr>
        <w:t>May 2018</w:t>
      </w:r>
      <w:r>
        <w:t>) sets out the background and policy context to healthy ageing and then details the ADPH’s positions and recommendations at a national and local level.</w:t>
      </w:r>
    </w:p>
    <w:p w:rsidR="003674CD" w:rsidRDefault="003674CD" w:rsidP="00944E37"/>
    <w:p w:rsidR="003674CD" w:rsidRDefault="003674CD" w:rsidP="00944E37">
      <w:pPr>
        <w:rPr>
          <w:b/>
        </w:rPr>
      </w:pPr>
      <w:r w:rsidRPr="003674CD">
        <w:rPr>
          <w:b/>
        </w:rPr>
        <w:t>The Grand Challenge Missions</w:t>
      </w:r>
    </w:p>
    <w:p w:rsidR="000540FE" w:rsidRDefault="003674CD" w:rsidP="004576E3">
      <w:r>
        <w:t>The Industrial Strategy sets out Grand Challenges</w:t>
      </w:r>
      <w:r w:rsidR="007C4729">
        <w:t xml:space="preserve"> (</w:t>
      </w:r>
      <w:r w:rsidR="007C4729" w:rsidRPr="007C4729">
        <w:rPr>
          <w:b/>
        </w:rPr>
        <w:t>updated May 2018</w:t>
      </w:r>
      <w:r w:rsidR="007C4729">
        <w:t>)</w:t>
      </w:r>
      <w:r>
        <w:t xml:space="preserve"> to put the UK at the forefront of the industries in the future. </w:t>
      </w:r>
      <w:r w:rsidR="007C4729">
        <w:t xml:space="preserve">One of the missions is around the </w:t>
      </w:r>
      <w:hyperlink r:id="rId15" w:anchor="ageing-society" w:history="1">
        <w:r w:rsidR="007C4729" w:rsidRPr="007C4729">
          <w:rPr>
            <w:rStyle w:val="Hyperlink"/>
            <w:b/>
          </w:rPr>
          <w:t>ageing society</w:t>
        </w:r>
      </w:hyperlink>
      <w:r w:rsidR="007C4729">
        <w:t xml:space="preserve"> </w:t>
      </w:r>
      <w:r w:rsidR="007C4729">
        <w:lastRenderedPageBreak/>
        <w:t xml:space="preserve">and the Government has made a commitment that by 2035, people can enjoy at least five extra healthy, independent years of life, whilst reducing inequalities. </w:t>
      </w:r>
    </w:p>
    <w:p w:rsidR="00515F9C" w:rsidRDefault="00515F9C" w:rsidP="004576E3"/>
    <w:p w:rsidR="00515F9C" w:rsidRPr="005531D8" w:rsidRDefault="00515F9C" w:rsidP="00515F9C">
      <w:pPr>
        <w:rPr>
          <w:b/>
          <w:lang w:val="en"/>
        </w:rPr>
      </w:pPr>
      <w:r w:rsidRPr="005531D8">
        <w:rPr>
          <w:b/>
          <w:lang w:val="en"/>
        </w:rPr>
        <w:t>Transforming Later Lives</w:t>
      </w:r>
    </w:p>
    <w:p w:rsidR="00515F9C" w:rsidRDefault="00515F9C" w:rsidP="00515F9C">
      <w:pPr>
        <w:rPr>
          <w:lang w:val="en"/>
        </w:rPr>
      </w:pPr>
      <w:r>
        <w:rPr>
          <w:lang w:val="en"/>
        </w:rPr>
        <w:t xml:space="preserve">The Centre for Ageing Better published this </w:t>
      </w:r>
      <w:hyperlink r:id="rId16" w:history="1">
        <w:r w:rsidRPr="00874014">
          <w:rPr>
            <w:rStyle w:val="Hyperlink"/>
            <w:b/>
            <w:u w:val="single"/>
            <w:lang w:val="en"/>
          </w:rPr>
          <w:t>strategy document</w:t>
        </w:r>
      </w:hyperlink>
      <w:r>
        <w:rPr>
          <w:lang w:val="en"/>
        </w:rPr>
        <w:t xml:space="preserve"> in </w:t>
      </w:r>
      <w:r w:rsidRPr="005531D8">
        <w:rPr>
          <w:b/>
          <w:lang w:val="en"/>
        </w:rPr>
        <w:t>2018</w:t>
      </w:r>
      <w:r>
        <w:rPr>
          <w:lang w:val="en"/>
        </w:rPr>
        <w:t xml:space="preserve"> focusing on four main areas for their long-term vision: safe and accessible housing, fulfilling employment, connected communities and finally, healthy ageing. </w:t>
      </w:r>
    </w:p>
    <w:p w:rsidR="00515F9C" w:rsidRDefault="00515F9C" w:rsidP="004576E3"/>
    <w:p w:rsidR="007C4729" w:rsidRDefault="007C4729" w:rsidP="004576E3">
      <w:pPr>
        <w:rPr>
          <w:b/>
          <w:color w:val="000000"/>
          <w:szCs w:val="24"/>
        </w:rPr>
      </w:pPr>
    </w:p>
    <w:p w:rsidR="003B72F2" w:rsidRPr="000D672C" w:rsidRDefault="003B72F2" w:rsidP="003B72F2">
      <w:pPr>
        <w:rPr>
          <w:b/>
        </w:rPr>
      </w:pPr>
      <w:r w:rsidRPr="000D672C">
        <w:rPr>
          <w:b/>
        </w:rPr>
        <w:t>Dementia in Older Age: Barriers to Primary Prevention and Factors</w:t>
      </w:r>
    </w:p>
    <w:p w:rsidR="003B72F2" w:rsidRDefault="003B72F2" w:rsidP="003B72F2">
      <w:r>
        <w:t xml:space="preserve">PHE commissioned the Personal Social Services Research Unit at the London School of Economics and Political Science to conduct a series of studies and literature reviews, detailed respectively below. These report documents are aimed at researchers and commissioners to help make decisions about the prioritisation of primary prevention measures relevant to dementia. </w:t>
      </w:r>
    </w:p>
    <w:p w:rsidR="003B72F2" w:rsidRPr="003B72F2" w:rsidRDefault="00671C96" w:rsidP="003B72F2">
      <w:pPr>
        <w:pStyle w:val="ListParagraph"/>
        <w:numPr>
          <w:ilvl w:val="0"/>
          <w:numId w:val="13"/>
        </w:numPr>
        <w:spacing w:after="0" w:line="240" w:lineRule="auto"/>
        <w:rPr>
          <w:rFonts w:ascii="Arial" w:hAnsi="Arial" w:cs="Arial"/>
          <w:sz w:val="24"/>
        </w:rPr>
      </w:pPr>
      <w:hyperlink r:id="rId17" w:history="1">
        <w:r w:rsidR="003B72F2" w:rsidRPr="00A1552D">
          <w:rPr>
            <w:rStyle w:val="Hyperlink"/>
            <w:rFonts w:ascii="Arial" w:hAnsi="Arial" w:cs="Arial"/>
            <w:b/>
            <w:sz w:val="24"/>
            <w:u w:val="single"/>
          </w:rPr>
          <w:t>Primary prevention of dementia: Barriers and facilitators</w:t>
        </w:r>
      </w:hyperlink>
      <w:r w:rsidR="003B72F2" w:rsidRPr="003B72F2">
        <w:rPr>
          <w:rFonts w:ascii="Arial" w:hAnsi="Arial" w:cs="Arial"/>
          <w:sz w:val="24"/>
        </w:rPr>
        <w:t xml:space="preserve"> (</w:t>
      </w:r>
      <w:r w:rsidR="003B72F2" w:rsidRPr="00A1552D">
        <w:rPr>
          <w:rFonts w:ascii="Arial" w:hAnsi="Arial" w:cs="Arial"/>
          <w:b/>
          <w:sz w:val="24"/>
        </w:rPr>
        <w:t>March 2017</w:t>
      </w:r>
      <w:r w:rsidR="003B72F2" w:rsidRPr="003B72F2">
        <w:rPr>
          <w:rFonts w:ascii="Arial" w:hAnsi="Arial" w:cs="Arial"/>
          <w:sz w:val="24"/>
        </w:rPr>
        <w:t xml:space="preserve">) </w:t>
      </w:r>
    </w:p>
    <w:p w:rsidR="003B72F2" w:rsidRPr="003B72F2" w:rsidRDefault="00671C96" w:rsidP="003B72F2">
      <w:pPr>
        <w:pStyle w:val="ListParagraph"/>
        <w:numPr>
          <w:ilvl w:val="0"/>
          <w:numId w:val="13"/>
        </w:numPr>
        <w:spacing w:after="0" w:line="240" w:lineRule="auto"/>
        <w:rPr>
          <w:rFonts w:ascii="Arial" w:hAnsi="Arial" w:cs="Arial"/>
          <w:sz w:val="24"/>
        </w:rPr>
      </w:pPr>
      <w:hyperlink r:id="rId18" w:history="1">
        <w:r w:rsidR="003B72F2" w:rsidRPr="00A1552D">
          <w:rPr>
            <w:rStyle w:val="Hyperlink"/>
            <w:rFonts w:ascii="Arial" w:hAnsi="Arial" w:cs="Arial"/>
            <w:b/>
            <w:sz w:val="24"/>
            <w:u w:val="single"/>
          </w:rPr>
          <w:t>Why no reliable estimate can be produced for the rate of return on investment in primary prevention of dementia</w:t>
        </w:r>
      </w:hyperlink>
      <w:r w:rsidR="003B72F2" w:rsidRPr="003B72F2">
        <w:rPr>
          <w:rFonts w:ascii="Arial" w:hAnsi="Arial" w:cs="Arial"/>
          <w:sz w:val="24"/>
        </w:rPr>
        <w:t xml:space="preserve"> (</w:t>
      </w:r>
      <w:r w:rsidR="003B72F2" w:rsidRPr="00A1552D">
        <w:rPr>
          <w:rFonts w:ascii="Arial" w:hAnsi="Arial" w:cs="Arial"/>
          <w:b/>
          <w:sz w:val="24"/>
        </w:rPr>
        <w:t>March 2017</w:t>
      </w:r>
      <w:r w:rsidR="003B72F2" w:rsidRPr="003B72F2">
        <w:rPr>
          <w:rFonts w:ascii="Arial" w:hAnsi="Arial" w:cs="Arial"/>
          <w:sz w:val="24"/>
        </w:rPr>
        <w:t>)</w:t>
      </w:r>
    </w:p>
    <w:p w:rsidR="003B72F2" w:rsidRPr="003B72F2" w:rsidRDefault="00671C96" w:rsidP="003B72F2">
      <w:pPr>
        <w:pStyle w:val="ListParagraph"/>
        <w:numPr>
          <w:ilvl w:val="0"/>
          <w:numId w:val="13"/>
        </w:numPr>
        <w:spacing w:after="0" w:line="240" w:lineRule="auto"/>
        <w:rPr>
          <w:rFonts w:ascii="Arial" w:hAnsi="Arial" w:cs="Arial"/>
          <w:sz w:val="24"/>
        </w:rPr>
      </w:pPr>
      <w:hyperlink r:id="rId19" w:history="1">
        <w:r w:rsidR="003B72F2" w:rsidRPr="00A1552D">
          <w:rPr>
            <w:rStyle w:val="Hyperlink"/>
            <w:rFonts w:ascii="Arial" w:hAnsi="Arial" w:cs="Arial"/>
            <w:b/>
            <w:sz w:val="24"/>
            <w:u w:val="single"/>
          </w:rPr>
          <w:t>The effect of midlife risk factors on dementia in older age</w:t>
        </w:r>
      </w:hyperlink>
      <w:r w:rsidR="003B72F2" w:rsidRPr="003B72F2">
        <w:rPr>
          <w:rFonts w:ascii="Arial" w:hAnsi="Arial" w:cs="Arial"/>
          <w:sz w:val="24"/>
        </w:rPr>
        <w:t xml:space="preserve"> (</w:t>
      </w:r>
      <w:r w:rsidR="003B72F2" w:rsidRPr="00A1552D">
        <w:rPr>
          <w:rFonts w:ascii="Arial" w:hAnsi="Arial" w:cs="Arial"/>
          <w:b/>
          <w:sz w:val="24"/>
        </w:rPr>
        <w:t>March 2017</w:t>
      </w:r>
      <w:r w:rsidR="003B72F2" w:rsidRPr="003B72F2">
        <w:rPr>
          <w:rFonts w:ascii="Arial" w:hAnsi="Arial" w:cs="Arial"/>
          <w:sz w:val="24"/>
        </w:rPr>
        <w:t>)</w:t>
      </w:r>
    </w:p>
    <w:p w:rsidR="003B72F2" w:rsidRPr="003B72F2" w:rsidRDefault="00671C96" w:rsidP="003B72F2">
      <w:pPr>
        <w:pStyle w:val="ListParagraph"/>
        <w:numPr>
          <w:ilvl w:val="0"/>
          <w:numId w:val="13"/>
        </w:numPr>
        <w:spacing w:after="0" w:line="240" w:lineRule="auto"/>
        <w:rPr>
          <w:rFonts w:ascii="Arial" w:hAnsi="Arial" w:cs="Arial"/>
          <w:sz w:val="24"/>
        </w:rPr>
      </w:pPr>
      <w:hyperlink r:id="rId20" w:history="1">
        <w:r w:rsidR="003B72F2" w:rsidRPr="00A1552D">
          <w:rPr>
            <w:rStyle w:val="Hyperlink"/>
            <w:rFonts w:ascii="Arial" w:hAnsi="Arial" w:cs="Arial"/>
            <w:b/>
            <w:sz w:val="24"/>
            <w:u w:val="single"/>
          </w:rPr>
          <w:t>The effect of midlife risk factors on dementia in older age: Key messages</w:t>
        </w:r>
      </w:hyperlink>
      <w:r w:rsidR="003B72F2" w:rsidRPr="003B72F2">
        <w:rPr>
          <w:rFonts w:ascii="Arial" w:hAnsi="Arial" w:cs="Arial"/>
          <w:sz w:val="24"/>
        </w:rPr>
        <w:t xml:space="preserve"> (</w:t>
      </w:r>
      <w:r w:rsidR="003B72F2" w:rsidRPr="00A1552D">
        <w:rPr>
          <w:rFonts w:ascii="Arial" w:hAnsi="Arial" w:cs="Arial"/>
          <w:b/>
          <w:sz w:val="24"/>
        </w:rPr>
        <w:t>June 2017</w:t>
      </w:r>
      <w:r w:rsidR="003B72F2" w:rsidRPr="003B72F2">
        <w:rPr>
          <w:rFonts w:ascii="Arial" w:hAnsi="Arial" w:cs="Arial"/>
          <w:sz w:val="24"/>
        </w:rPr>
        <w:t>)</w:t>
      </w:r>
    </w:p>
    <w:p w:rsidR="003B72F2" w:rsidRDefault="003B72F2" w:rsidP="004576E3">
      <w:pPr>
        <w:rPr>
          <w:b/>
          <w:color w:val="000000"/>
          <w:szCs w:val="24"/>
        </w:rPr>
      </w:pPr>
    </w:p>
    <w:p w:rsidR="006D079F" w:rsidRDefault="006D079F" w:rsidP="006D079F">
      <w:pPr>
        <w:rPr>
          <w:b/>
          <w:szCs w:val="24"/>
          <w:lang w:eastAsia="en-GB"/>
        </w:rPr>
      </w:pPr>
      <w:r>
        <w:rPr>
          <w:b/>
          <w:szCs w:val="24"/>
          <w:lang w:eastAsia="en-GB"/>
        </w:rPr>
        <w:t>Global Strategy and Action Plan on Ageing and Health</w:t>
      </w:r>
    </w:p>
    <w:p w:rsidR="006D079F" w:rsidRPr="00D04CDE" w:rsidRDefault="006D079F" w:rsidP="006D079F">
      <w:pPr>
        <w:rPr>
          <w:szCs w:val="24"/>
          <w:lang w:val="en"/>
        </w:rPr>
      </w:pPr>
      <w:r>
        <w:rPr>
          <w:szCs w:val="24"/>
          <w:lang w:eastAsia="en-GB"/>
        </w:rPr>
        <w:t xml:space="preserve">The World Health Organisation has published this </w:t>
      </w:r>
      <w:hyperlink r:id="rId21" w:history="1">
        <w:r w:rsidRPr="006D079F">
          <w:rPr>
            <w:rStyle w:val="Hyperlink"/>
            <w:b/>
            <w:szCs w:val="24"/>
            <w:u w:val="single"/>
            <w:lang w:eastAsia="en-GB"/>
          </w:rPr>
          <w:t>strategy</w:t>
        </w:r>
      </w:hyperlink>
      <w:r>
        <w:rPr>
          <w:szCs w:val="24"/>
          <w:lang w:eastAsia="en-GB"/>
        </w:rPr>
        <w:t xml:space="preserve"> (</w:t>
      </w:r>
      <w:r w:rsidRPr="003B72F2">
        <w:rPr>
          <w:b/>
          <w:szCs w:val="24"/>
          <w:lang w:eastAsia="en-GB"/>
        </w:rPr>
        <w:t>2016-2030</w:t>
      </w:r>
      <w:r>
        <w:rPr>
          <w:szCs w:val="24"/>
          <w:lang w:eastAsia="en-GB"/>
        </w:rPr>
        <w:t>) with the vision of a world in which everyone can live a long and healthy life. The action plan (</w:t>
      </w:r>
      <w:r w:rsidRPr="003B72F2">
        <w:rPr>
          <w:b/>
          <w:szCs w:val="24"/>
          <w:lang w:eastAsia="en-GB"/>
        </w:rPr>
        <w:t>2016-2020</w:t>
      </w:r>
      <w:r>
        <w:rPr>
          <w:szCs w:val="24"/>
          <w:lang w:eastAsia="en-GB"/>
        </w:rPr>
        <w:t>), as part of this document, details goals for the next five years including implementing existing evidence, filling the evidence gaps and establishing partnerships to ensure a decade of healthy ageing from 2020-2030.</w:t>
      </w:r>
    </w:p>
    <w:p w:rsidR="006D079F" w:rsidRDefault="006D079F" w:rsidP="004576E3">
      <w:pPr>
        <w:rPr>
          <w:b/>
          <w:color w:val="000000"/>
          <w:szCs w:val="24"/>
        </w:rPr>
      </w:pPr>
    </w:p>
    <w:p w:rsidR="00274D45" w:rsidRPr="00F73D0A" w:rsidRDefault="00274D45" w:rsidP="00274D45">
      <w:pPr>
        <w:rPr>
          <w:b/>
        </w:rPr>
      </w:pPr>
      <w:r w:rsidRPr="00F73D0A">
        <w:rPr>
          <w:b/>
        </w:rPr>
        <w:t>Changing Risk Behaviours and Promoting Cognitive Health in Older Adults</w:t>
      </w:r>
    </w:p>
    <w:p w:rsidR="00274D45" w:rsidRDefault="00274D45" w:rsidP="00274D45">
      <w:r>
        <w:t xml:space="preserve">This PHE evidence-based </w:t>
      </w:r>
      <w:hyperlink r:id="rId22" w:history="1">
        <w:r w:rsidRPr="00E67A40">
          <w:rPr>
            <w:rStyle w:val="Hyperlink"/>
            <w:b/>
            <w:u w:val="single"/>
          </w:rPr>
          <w:t>resource</w:t>
        </w:r>
      </w:hyperlink>
      <w:r>
        <w:t xml:space="preserve"> (</w:t>
      </w:r>
      <w:r w:rsidRPr="00B3413B">
        <w:rPr>
          <w:b/>
        </w:rPr>
        <w:t>November 2016</w:t>
      </w:r>
      <w:r>
        <w:t>) is aimed at local authority commissioners and CCGs to inform and steer the focus of what types of interventions should be delivered to help the uptake and maintenance of healthy behaviours among older adults living in the community and to promote cognitive health.</w:t>
      </w:r>
    </w:p>
    <w:p w:rsidR="00274D45" w:rsidRDefault="00274D45" w:rsidP="004576E3">
      <w:pPr>
        <w:rPr>
          <w:b/>
          <w:color w:val="000000"/>
          <w:szCs w:val="24"/>
        </w:rPr>
      </w:pPr>
    </w:p>
    <w:p w:rsidR="004576E3" w:rsidRPr="00DD4BEE" w:rsidRDefault="004576E3" w:rsidP="004576E3">
      <w:pPr>
        <w:rPr>
          <w:b/>
        </w:rPr>
      </w:pPr>
      <w:r w:rsidRPr="00DD4BEE">
        <w:rPr>
          <w:b/>
        </w:rPr>
        <w:t>Prime Minister’s Challenge on Dementia 2020</w:t>
      </w:r>
    </w:p>
    <w:p w:rsidR="004576E3" w:rsidRDefault="004576E3" w:rsidP="004576E3">
      <w:r>
        <w:t xml:space="preserve">In </w:t>
      </w:r>
      <w:r w:rsidRPr="00553C60">
        <w:rPr>
          <w:b/>
        </w:rPr>
        <w:t>February 2015</w:t>
      </w:r>
      <w:r>
        <w:t xml:space="preserve">, the </w:t>
      </w:r>
      <w:hyperlink r:id="rId23" w:history="1">
        <w:r w:rsidRPr="00944E37">
          <w:rPr>
            <w:rStyle w:val="Hyperlink"/>
            <w:b/>
            <w:u w:val="single"/>
          </w:rPr>
          <w:t>Prime Minister’s challenge on dementia 2020</w:t>
        </w:r>
      </w:hyperlink>
      <w:r w:rsidRPr="00DD4BEE">
        <w:rPr>
          <w:b/>
        </w:rPr>
        <w:t xml:space="preserve"> </w:t>
      </w:r>
      <w:r>
        <w:t xml:space="preserve">was published and detailed 50 commitments that aim to make England a world-leader in dementia - relating to awareness, care and research - by 2020. Following this publication, in </w:t>
      </w:r>
      <w:r w:rsidRPr="00553C60">
        <w:rPr>
          <w:b/>
        </w:rPr>
        <w:t>March 2016</w:t>
      </w:r>
      <w:r>
        <w:t xml:space="preserve"> an </w:t>
      </w:r>
      <w:hyperlink r:id="rId24" w:history="1">
        <w:r w:rsidRPr="00944E37">
          <w:rPr>
            <w:rStyle w:val="Hyperlink"/>
            <w:b/>
            <w:u w:val="single"/>
          </w:rPr>
          <w:t>implementation plan</w:t>
        </w:r>
      </w:hyperlink>
      <w:r>
        <w:t xml:space="preserve"> was released, which set out how these 50 commitments will be met. It details four themes </w:t>
      </w:r>
      <w:r w:rsidR="00E67A40">
        <w:t>(</w:t>
      </w:r>
      <w:r>
        <w:t xml:space="preserve">risk reduction; health and care; awareness </w:t>
      </w:r>
      <w:r w:rsidR="00E67A40">
        <w:t>and social action and research),</w:t>
      </w:r>
      <w:r>
        <w:t xml:space="preserve"> priority actions within these themes and the organisations </w:t>
      </w:r>
      <w:r w:rsidR="00E67A40">
        <w:t xml:space="preserve">who are </w:t>
      </w:r>
      <w:r>
        <w:t xml:space="preserve">responsible. </w:t>
      </w:r>
    </w:p>
    <w:p w:rsidR="00594605" w:rsidRDefault="00594605" w:rsidP="004576E3"/>
    <w:p w:rsidR="00594605" w:rsidRDefault="00594605" w:rsidP="004576E3">
      <w:pPr>
        <w:rPr>
          <w:b/>
        </w:rPr>
      </w:pPr>
      <w:r>
        <w:rPr>
          <w:b/>
        </w:rPr>
        <w:t>Baby Boomers: Fit for the Future</w:t>
      </w:r>
    </w:p>
    <w:p w:rsidR="00594605" w:rsidRPr="00594605" w:rsidRDefault="00594605" w:rsidP="004576E3">
      <w:r>
        <w:t xml:space="preserve">This </w:t>
      </w:r>
      <w:hyperlink r:id="rId25" w:history="1">
        <w:r w:rsidRPr="00594605">
          <w:rPr>
            <w:rStyle w:val="Hyperlink"/>
            <w:b/>
            <w:u w:val="single"/>
          </w:rPr>
          <w:t>annual report of the Chief Medical Officer</w:t>
        </w:r>
      </w:hyperlink>
      <w:r>
        <w:t xml:space="preserve"> (</w:t>
      </w:r>
      <w:r w:rsidRPr="00EF4B09">
        <w:rPr>
          <w:b/>
        </w:rPr>
        <w:t>2015</w:t>
      </w:r>
      <w:r>
        <w:t xml:space="preserve">) focused on the state of the public health in relation to ‘baby boomers’ who are those around the age of 50-70 years old now. </w:t>
      </w:r>
      <w:r w:rsidR="0016670B">
        <w:t>Societal and demographic changes to this group of people have</w:t>
      </w:r>
      <w:r w:rsidR="00EF4B09">
        <w:t xml:space="preserve"> occurred through their lifetimes and many of these changes affect them as wider determinants of health. </w:t>
      </w:r>
    </w:p>
    <w:p w:rsidR="004576E3" w:rsidRDefault="004576E3" w:rsidP="00C939EC">
      <w:pPr>
        <w:spacing w:after="240"/>
        <w:rPr>
          <w:b/>
          <w:color w:val="000000"/>
          <w:szCs w:val="24"/>
        </w:rPr>
      </w:pPr>
    </w:p>
    <w:p w:rsidR="00DE07C9" w:rsidRDefault="00F172B0" w:rsidP="002358A6">
      <w:pPr>
        <w:rPr>
          <w:szCs w:val="24"/>
          <w:lang w:val="en"/>
        </w:rPr>
      </w:pPr>
      <w:r w:rsidRPr="00DE07C9">
        <w:rPr>
          <w:noProof/>
          <w:szCs w:val="24"/>
          <w:lang w:eastAsia="en-GB"/>
        </w:rPr>
        <w:lastRenderedPageBreak/>
        <mc:AlternateContent>
          <mc:Choice Requires="wps">
            <w:drawing>
              <wp:anchor distT="0" distB="0" distL="114300" distR="114300" simplePos="0" relativeHeight="251663360" behindDoc="0" locked="0" layoutInCell="1" allowOverlap="1" wp14:anchorId="70D6BAB0" wp14:editId="78C4D537">
                <wp:simplePos x="0" y="0"/>
                <wp:positionH relativeFrom="column">
                  <wp:align>center</wp:align>
                </wp:positionH>
                <wp:positionV relativeFrom="paragraph">
                  <wp:posOffset>0</wp:posOffset>
                </wp:positionV>
                <wp:extent cx="7824470" cy="37080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0800"/>
                        </a:xfrm>
                        <a:prstGeom prst="rect">
                          <a:avLst/>
                        </a:prstGeom>
                        <a:solidFill>
                          <a:srgbClr val="980029"/>
                        </a:solidFill>
                        <a:ln w="9525">
                          <a:noFill/>
                          <a:miter lim="800000"/>
                          <a:headEnd/>
                          <a:tailEnd/>
                        </a:ln>
                      </wps:spPr>
                      <wps:txb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4576E3">
                              <w:rPr>
                                <w:b/>
                                <w:color w:val="FFFFFF" w:themeColor="background1"/>
                                <w:sz w:val="32"/>
                                <w:szCs w:val="32"/>
                              </w:rPr>
                              <w:t xml:space="preserve">  Data, g</w:t>
                            </w:r>
                            <w:r>
                              <w:rPr>
                                <w:b/>
                                <w:color w:val="FFFFFF" w:themeColor="background1"/>
                                <w:sz w:val="32"/>
                                <w:szCs w:val="32"/>
                              </w:rPr>
                              <w:t>uidance, infographics and toolkits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6BAB0" id="_x0000_s1027" type="#_x0000_t202" style="position:absolute;margin-left:0;margin-top:0;width:616.1pt;height:29.2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" fillcolor="#980029" stroked="f">
                <v:textbox>
                  <w:txbxContent>
                    <w:p w:rsidR="00DE07C9" w:rsidRPr="00DE07C9" w:rsidRDefault="00F172B0" w:rsidP="00E545BB">
                      <w:pPr>
                        <w:ind w:left="720"/>
                        <w:rPr>
                          <w:b/>
                          <w:color w:val="FFFFFF" w:themeColor="background1"/>
                          <w:sz w:val="32"/>
                          <w:szCs w:val="32"/>
                        </w:rPr>
                      </w:pPr>
                      <w:r>
                        <w:rPr>
                          <w:b/>
                          <w:color w:val="FFFFFF" w:themeColor="background1"/>
                          <w:sz w:val="32"/>
                          <w:szCs w:val="32"/>
                        </w:rPr>
                        <w:t xml:space="preserve"> </w:t>
                      </w:r>
                      <w:r w:rsidR="004576E3">
                        <w:rPr>
                          <w:b/>
                          <w:color w:val="FFFFFF" w:themeColor="background1"/>
                          <w:sz w:val="32"/>
                          <w:szCs w:val="32"/>
                        </w:rPr>
                        <w:t xml:space="preserve">  Data, g</w:t>
                      </w:r>
                      <w:r>
                        <w:rPr>
                          <w:b/>
                          <w:color w:val="FFFFFF" w:themeColor="background1"/>
                          <w:sz w:val="32"/>
                          <w:szCs w:val="32"/>
                        </w:rPr>
                        <w:t>uidance, infographics and toolkits</w:t>
                      </w:r>
                    </w:p>
                  </w:txbxContent>
                </v:textbox>
              </v:shape>
            </w:pict>
          </mc:Fallback>
        </mc:AlternateContent>
      </w:r>
    </w:p>
    <w:p w:rsidR="00DE07C9" w:rsidRDefault="00DE07C9" w:rsidP="002358A6">
      <w:pPr>
        <w:rPr>
          <w:szCs w:val="24"/>
          <w:lang w:val="en"/>
        </w:rPr>
      </w:pPr>
    </w:p>
    <w:p w:rsidR="00DE07C9" w:rsidRDefault="00DE07C9" w:rsidP="002358A6">
      <w:pPr>
        <w:rPr>
          <w:szCs w:val="24"/>
          <w:lang w:val="en"/>
        </w:rPr>
      </w:pPr>
    </w:p>
    <w:p w:rsidR="004576E3" w:rsidRPr="00DE6ED5" w:rsidRDefault="004576E3" w:rsidP="004576E3">
      <w:pPr>
        <w:rPr>
          <w:b/>
        </w:rPr>
      </w:pPr>
      <w:r w:rsidRPr="00DE6ED5">
        <w:rPr>
          <w:b/>
        </w:rPr>
        <w:t>Dementia Fingertips Profile</w:t>
      </w:r>
    </w:p>
    <w:p w:rsidR="004576E3" w:rsidRDefault="004576E3" w:rsidP="004576E3">
      <w:r>
        <w:t xml:space="preserve">This </w:t>
      </w:r>
      <w:hyperlink r:id="rId26" w:history="1">
        <w:r w:rsidRPr="004576E3">
          <w:rPr>
            <w:rStyle w:val="Hyperlink"/>
            <w:b/>
            <w:u w:val="single"/>
          </w:rPr>
          <w:t>dement</w:t>
        </w:r>
        <w:bookmarkStart w:id="1" w:name="_GoBack"/>
        <w:bookmarkEnd w:id="1"/>
        <w:r w:rsidRPr="004576E3">
          <w:rPr>
            <w:rStyle w:val="Hyperlink"/>
            <w:b/>
            <w:u w:val="single"/>
          </w:rPr>
          <w:t>i</w:t>
        </w:r>
        <w:r w:rsidRPr="004576E3">
          <w:rPr>
            <w:rStyle w:val="Hyperlink"/>
            <w:b/>
            <w:u w:val="single"/>
          </w:rPr>
          <w:t>a tool</w:t>
        </w:r>
      </w:hyperlink>
      <w:r>
        <w:t xml:space="preserve"> provides data through indicators on six data domains: prevalence; preventing well; diagnosing well; living well; supporting well and dying well. Data is provided at CCG and Local Authority levels, with the ability to benchmark current practice against other CGGs, local authorities and England. </w:t>
      </w:r>
    </w:p>
    <w:p w:rsidR="003F6A0B" w:rsidRDefault="003F6A0B" w:rsidP="00257914">
      <w:pPr>
        <w:rPr>
          <w:b/>
          <w:lang w:val="en"/>
        </w:rPr>
      </w:pPr>
    </w:p>
    <w:p w:rsidR="004576E3" w:rsidRPr="004F7485" w:rsidRDefault="004576E3" w:rsidP="004576E3">
      <w:pPr>
        <w:rPr>
          <w:b/>
        </w:rPr>
      </w:pPr>
      <w:r w:rsidRPr="004F7485">
        <w:rPr>
          <w:b/>
        </w:rPr>
        <w:t>Older People’s Health and Wellbeing Fingertips Profile</w:t>
      </w:r>
    </w:p>
    <w:p w:rsidR="003F6A0B" w:rsidRDefault="004576E3" w:rsidP="00257914">
      <w:r>
        <w:t xml:space="preserve">This </w:t>
      </w:r>
      <w:hyperlink r:id="rId27" w:history="1">
        <w:r w:rsidRPr="004576E3">
          <w:rPr>
            <w:rStyle w:val="Hyperlink"/>
            <w:b/>
            <w:u w:val="single"/>
          </w:rPr>
          <w:t>older p</w:t>
        </w:r>
        <w:r w:rsidRPr="004576E3">
          <w:rPr>
            <w:rStyle w:val="Hyperlink"/>
            <w:b/>
            <w:u w:val="single"/>
          </w:rPr>
          <w:t>e</w:t>
        </w:r>
        <w:r w:rsidRPr="004576E3">
          <w:rPr>
            <w:rStyle w:val="Hyperlink"/>
            <w:b/>
            <w:u w:val="single"/>
          </w:rPr>
          <w:t>ople’s health and wellbeing tool</w:t>
        </w:r>
      </w:hyperlink>
      <w:r>
        <w:t xml:space="preserve"> provides data through a variety of indicators, across local authorities in England. It is aimed at supporting those responsible for delivering strategies for prevention and intervention to improve the health and wellbeing of older adults. </w:t>
      </w:r>
    </w:p>
    <w:p w:rsidR="0052719E" w:rsidRDefault="0052719E" w:rsidP="00257914"/>
    <w:p w:rsidR="00126FC9" w:rsidRPr="00126FC9" w:rsidRDefault="00126FC9" w:rsidP="00257914">
      <w:pPr>
        <w:rPr>
          <w:b/>
        </w:rPr>
      </w:pPr>
      <w:r w:rsidRPr="00126FC9">
        <w:rPr>
          <w:b/>
        </w:rPr>
        <w:t>Dementia Training Resources: NHS Health Checks</w:t>
      </w:r>
    </w:p>
    <w:p w:rsidR="00126FC9" w:rsidRDefault="00126FC9" w:rsidP="00257914">
      <w:r>
        <w:t xml:space="preserve">These </w:t>
      </w:r>
      <w:hyperlink r:id="rId28" w:history="1">
        <w:r w:rsidRPr="00126FC9">
          <w:rPr>
            <w:rStyle w:val="Hyperlink"/>
            <w:b/>
            <w:u w:val="single"/>
          </w:rPr>
          <w:t>training resources</w:t>
        </w:r>
      </w:hyperlink>
      <w:r>
        <w:t xml:space="preserve"> produced in partnership with PHE offer guidance for NHS Health Check trainers and practitioners to deliver the mandatory dementia component of the NHS Health Check and to support them when having conversations with patients on dementia risk reduction. </w:t>
      </w:r>
    </w:p>
    <w:p w:rsidR="00126FC9" w:rsidRDefault="00126FC9" w:rsidP="00257914"/>
    <w:p w:rsidR="0052719E" w:rsidRDefault="0052719E" w:rsidP="0052719E">
      <w:pPr>
        <w:rPr>
          <w:b/>
          <w:lang w:val="en"/>
        </w:rPr>
      </w:pPr>
      <w:r>
        <w:rPr>
          <w:b/>
          <w:lang w:val="en"/>
        </w:rPr>
        <w:t>After a Diagnosis of Dementia: What to Expect from Health and Care Services</w:t>
      </w:r>
    </w:p>
    <w:p w:rsidR="0052719E" w:rsidRPr="00DA05D7" w:rsidRDefault="0052719E" w:rsidP="0052719E">
      <w:pPr>
        <w:rPr>
          <w:lang w:val="en"/>
        </w:rPr>
      </w:pPr>
      <w:r>
        <w:rPr>
          <w:lang w:val="en"/>
        </w:rPr>
        <w:t xml:space="preserve">The Department of Health and Social Care published this </w:t>
      </w:r>
      <w:hyperlink r:id="rId29" w:history="1">
        <w:r w:rsidRPr="0052719E">
          <w:rPr>
            <w:rStyle w:val="Hyperlink"/>
            <w:b/>
            <w:u w:val="single"/>
            <w:lang w:val="en"/>
          </w:rPr>
          <w:t>guidance</w:t>
        </w:r>
      </w:hyperlink>
      <w:r>
        <w:rPr>
          <w:lang w:val="en"/>
        </w:rPr>
        <w:t xml:space="preserve"> (</w:t>
      </w:r>
      <w:r w:rsidRPr="007B3F88">
        <w:rPr>
          <w:b/>
          <w:lang w:val="en"/>
        </w:rPr>
        <w:t>May 2018</w:t>
      </w:r>
      <w:r>
        <w:rPr>
          <w:lang w:val="en"/>
        </w:rPr>
        <w:t xml:space="preserve">) on the support that individuals should receive from local services in England if they or someone they know has been diagnosed with dementia. It details information on what a care plan is; how health and social care services can help and the support available to unpaid family carers. </w:t>
      </w:r>
    </w:p>
    <w:p w:rsidR="004576E3" w:rsidRDefault="004576E3" w:rsidP="00257914"/>
    <w:p w:rsidR="00A822CB" w:rsidRPr="00A822CB" w:rsidRDefault="00A822CB" w:rsidP="00257914">
      <w:pPr>
        <w:rPr>
          <w:b/>
        </w:rPr>
      </w:pPr>
      <w:r w:rsidRPr="00A822CB">
        <w:rPr>
          <w:b/>
        </w:rPr>
        <w:t>Falls Prevention: Cost-Effective Commissioning</w:t>
      </w:r>
    </w:p>
    <w:p w:rsidR="00A822CB" w:rsidRPr="00A822CB" w:rsidRDefault="00A822CB" w:rsidP="00274D45">
      <w:pPr>
        <w:rPr>
          <w:lang w:val="en"/>
        </w:rPr>
      </w:pPr>
      <w:r>
        <w:rPr>
          <w:lang w:val="en"/>
        </w:rPr>
        <w:t xml:space="preserve">This </w:t>
      </w:r>
      <w:hyperlink r:id="rId30" w:anchor="history" w:history="1">
        <w:r w:rsidRPr="00A822CB">
          <w:rPr>
            <w:rStyle w:val="Hyperlink"/>
            <w:b/>
            <w:u w:val="single"/>
            <w:lang w:val="en"/>
          </w:rPr>
          <w:t>return on investment toolkit</w:t>
        </w:r>
      </w:hyperlink>
      <w:r>
        <w:rPr>
          <w:lang w:val="en"/>
        </w:rPr>
        <w:t xml:space="preserve"> (</w:t>
      </w:r>
      <w:r w:rsidRPr="00A822CB">
        <w:rPr>
          <w:b/>
          <w:lang w:val="en"/>
        </w:rPr>
        <w:t>Last updated April 2018</w:t>
      </w:r>
      <w:r>
        <w:rPr>
          <w:lang w:val="en"/>
        </w:rPr>
        <w:t xml:space="preserve">) pulls together evidence on the effectiveness and associated costs for interventions aimed at preventing falls in older people in the community. </w:t>
      </w:r>
    </w:p>
    <w:p w:rsidR="00A822CB" w:rsidRDefault="00A822CB" w:rsidP="00274D45">
      <w:pPr>
        <w:rPr>
          <w:b/>
          <w:lang w:val="en"/>
        </w:rPr>
      </w:pPr>
    </w:p>
    <w:p w:rsidR="00274D45" w:rsidRPr="0095342B" w:rsidRDefault="00274D45" w:rsidP="00274D45">
      <w:pPr>
        <w:rPr>
          <w:b/>
          <w:lang w:val="en"/>
        </w:rPr>
      </w:pPr>
      <w:r w:rsidRPr="0095342B">
        <w:rPr>
          <w:b/>
          <w:lang w:val="en"/>
        </w:rPr>
        <w:t>My Future Wishes: Advanced Care Planning for People with Dementia in all Care Settings</w:t>
      </w:r>
    </w:p>
    <w:p w:rsidR="00274D45" w:rsidRDefault="00274D45" w:rsidP="00274D45">
      <w:pPr>
        <w:rPr>
          <w:lang w:val="en"/>
        </w:rPr>
      </w:pPr>
      <w:r>
        <w:rPr>
          <w:lang w:val="en"/>
        </w:rPr>
        <w:t xml:space="preserve">The </w:t>
      </w:r>
      <w:hyperlink r:id="rId31" w:history="1">
        <w:r w:rsidRPr="00FB2CBA">
          <w:rPr>
            <w:rStyle w:val="Hyperlink"/>
            <w:b/>
            <w:u w:val="single"/>
            <w:lang w:val="en"/>
          </w:rPr>
          <w:t>document</w:t>
        </w:r>
      </w:hyperlink>
      <w:r w:rsidRPr="006866AF">
        <w:rPr>
          <w:b/>
          <w:lang w:val="en"/>
        </w:rPr>
        <w:t xml:space="preserve"> </w:t>
      </w:r>
      <w:r>
        <w:rPr>
          <w:lang w:val="en"/>
        </w:rPr>
        <w:t>(</w:t>
      </w:r>
      <w:r w:rsidRPr="006866AF">
        <w:rPr>
          <w:b/>
          <w:lang w:val="en"/>
        </w:rPr>
        <w:t>April 2018</w:t>
      </w:r>
      <w:r>
        <w:rPr>
          <w:lang w:val="en"/>
        </w:rPr>
        <w:t>) provides information and support for healthcare professionals, providers and commissioners around advance care planning (ACP) for people living with dementia. The aim is to help create opportunities to develop an ACP through initiating conversations and ensuring it is fully embedded in wider inclusive, personalised care and support planning and to ensure people living with dementia have the same equal opportunities in terms of accessing care services and support, as those who have other life limiting conditions.</w:t>
      </w:r>
    </w:p>
    <w:p w:rsidR="00274D45" w:rsidRDefault="00274D45" w:rsidP="00257914"/>
    <w:p w:rsidR="00687B86" w:rsidRPr="00687B86" w:rsidRDefault="00687B86" w:rsidP="00257914">
      <w:pPr>
        <w:rPr>
          <w:b/>
        </w:rPr>
      </w:pPr>
      <w:r w:rsidRPr="00687B86">
        <w:rPr>
          <w:b/>
        </w:rPr>
        <w:t>Musculoskeletal Conditions: Return on Investment Tool</w:t>
      </w:r>
    </w:p>
    <w:p w:rsidR="00687B86" w:rsidRPr="00687B86" w:rsidRDefault="00687B86" w:rsidP="008504E6">
      <w:r>
        <w:t xml:space="preserve">This </w:t>
      </w:r>
      <w:hyperlink r:id="rId32" w:anchor="history" w:history="1">
        <w:r w:rsidRPr="00687B86">
          <w:rPr>
            <w:rStyle w:val="Hyperlink"/>
            <w:b/>
            <w:u w:val="single"/>
          </w:rPr>
          <w:t>return on investment toolkit</w:t>
        </w:r>
      </w:hyperlink>
      <w:r>
        <w:t xml:space="preserve"> (</w:t>
      </w:r>
      <w:r w:rsidRPr="00687B86">
        <w:rPr>
          <w:b/>
        </w:rPr>
        <w:t>December 2017</w:t>
      </w:r>
      <w:r>
        <w:t>) pulls together evidence on the effectiveness and associated costs for a number of interventions for musculoskeletal conditions. It allows results to be tailored to local situations and allows local authorities and clinical commissioning groups can use results to make commissioning decisions.</w:t>
      </w:r>
    </w:p>
    <w:p w:rsidR="00687B86" w:rsidRDefault="00687B86" w:rsidP="008504E6">
      <w:pPr>
        <w:rPr>
          <w:b/>
        </w:rPr>
      </w:pPr>
    </w:p>
    <w:p w:rsidR="008504E6" w:rsidRDefault="008504E6" w:rsidP="008504E6">
      <w:pPr>
        <w:rPr>
          <w:b/>
        </w:rPr>
      </w:pPr>
      <w:r w:rsidRPr="0052767F">
        <w:rPr>
          <w:b/>
        </w:rPr>
        <w:lastRenderedPageBreak/>
        <w:t>Productive Healthy Ageing and Musculoskeletal (MSK) Health</w:t>
      </w:r>
    </w:p>
    <w:p w:rsidR="008504E6" w:rsidRDefault="008504E6" w:rsidP="008504E6">
      <w:r>
        <w:t xml:space="preserve">PHE produced this </w:t>
      </w:r>
      <w:hyperlink r:id="rId33" w:history="1">
        <w:r w:rsidRPr="008504E6">
          <w:rPr>
            <w:rStyle w:val="Hyperlink"/>
            <w:b/>
            <w:u w:val="single"/>
          </w:rPr>
          <w:t>gu</w:t>
        </w:r>
        <w:r w:rsidRPr="008504E6">
          <w:rPr>
            <w:rStyle w:val="Hyperlink"/>
            <w:b/>
            <w:u w:val="single"/>
          </w:rPr>
          <w:t>i</w:t>
        </w:r>
        <w:r w:rsidRPr="008504E6">
          <w:rPr>
            <w:rStyle w:val="Hyperlink"/>
            <w:b/>
            <w:u w:val="single"/>
          </w:rPr>
          <w:t>dance</w:t>
        </w:r>
      </w:hyperlink>
      <w:r>
        <w:t xml:space="preserve"> (</w:t>
      </w:r>
      <w:r w:rsidRPr="002F2E68">
        <w:rPr>
          <w:b/>
        </w:rPr>
        <w:t>December 2017</w:t>
      </w:r>
      <w:r>
        <w:t>) for local authorities and health professionals and it makes the case for action to support healthy productive later life, given that life expectancy is rising. It contains useful infographics, interventions to prevent the onset of MSK conditions and a call to action to local government, commissioners and service providers</w:t>
      </w:r>
      <w:r w:rsidR="00C21D52">
        <w:t>,</w:t>
      </w:r>
      <w:r>
        <w:t xml:space="preserve"> among others.</w:t>
      </w:r>
    </w:p>
    <w:p w:rsidR="008504E6" w:rsidRDefault="008504E6" w:rsidP="00257914"/>
    <w:p w:rsidR="000D659D" w:rsidRPr="004A3EB0" w:rsidRDefault="000D659D" w:rsidP="000D659D">
      <w:pPr>
        <w:rPr>
          <w:b/>
        </w:rPr>
      </w:pPr>
      <w:r w:rsidRPr="004A3EB0">
        <w:rPr>
          <w:b/>
        </w:rPr>
        <w:t>Falls and fractures: Consensus Statement and Resources Pack</w:t>
      </w:r>
    </w:p>
    <w:p w:rsidR="000D659D" w:rsidRPr="00271FD6" w:rsidRDefault="000D659D" w:rsidP="000D659D">
      <w:r>
        <w:t>This</w:t>
      </w:r>
      <w:r w:rsidR="00C21D52">
        <w:t xml:space="preserve"> PHE</w:t>
      </w:r>
      <w:r>
        <w:t xml:space="preserve"> </w:t>
      </w:r>
      <w:hyperlink r:id="rId34" w:history="1">
        <w:r w:rsidRPr="000D659D">
          <w:rPr>
            <w:rStyle w:val="Hyperlink"/>
            <w:b/>
            <w:u w:val="single"/>
          </w:rPr>
          <w:t>guidance</w:t>
        </w:r>
      </w:hyperlink>
      <w:r>
        <w:t xml:space="preserve"> (</w:t>
      </w:r>
      <w:r w:rsidRPr="004A3EB0">
        <w:rPr>
          <w:b/>
        </w:rPr>
        <w:t>last updated July 2017</w:t>
      </w:r>
      <w:r>
        <w:t xml:space="preserve">) was produced by the National Falls Prevention Coordination Group and is aimed at commissioners and strategic leads in England with a remit of falls, bone health and healthy ageing. </w:t>
      </w:r>
    </w:p>
    <w:p w:rsidR="00425D84" w:rsidRDefault="00425D84" w:rsidP="00257914"/>
    <w:p w:rsidR="002F5F5B" w:rsidRPr="00711824" w:rsidRDefault="002F5F5B" w:rsidP="002F5F5B">
      <w:pPr>
        <w:rPr>
          <w:b/>
          <w:lang w:val="en"/>
        </w:rPr>
      </w:pPr>
      <w:r w:rsidRPr="00711824">
        <w:rPr>
          <w:b/>
          <w:lang w:val="en"/>
        </w:rPr>
        <w:t>Implementation Guide and Resource Pack for Dementia Care</w:t>
      </w:r>
    </w:p>
    <w:p w:rsidR="002F5F5B" w:rsidRPr="00705BB0" w:rsidRDefault="002F5F5B" w:rsidP="002F5F5B">
      <w:pPr>
        <w:rPr>
          <w:lang w:val="en"/>
        </w:rPr>
      </w:pPr>
      <w:r>
        <w:rPr>
          <w:lang w:val="en"/>
        </w:rPr>
        <w:t xml:space="preserve">NHS England has published a </w:t>
      </w:r>
      <w:hyperlink r:id="rId35" w:history="1">
        <w:r w:rsidRPr="002F5F5B">
          <w:rPr>
            <w:rStyle w:val="Hyperlink"/>
            <w:b/>
            <w:u w:val="single"/>
            <w:lang w:val="en"/>
          </w:rPr>
          <w:t>new guide and resource pack</w:t>
        </w:r>
      </w:hyperlink>
      <w:r>
        <w:rPr>
          <w:lang w:val="en"/>
        </w:rPr>
        <w:t xml:space="preserve"> (</w:t>
      </w:r>
      <w:r w:rsidRPr="00711824">
        <w:rPr>
          <w:b/>
          <w:lang w:val="en"/>
        </w:rPr>
        <w:t>July 2017</w:t>
      </w:r>
      <w:r>
        <w:rPr>
          <w:lang w:val="en"/>
        </w:rPr>
        <w:t>) that details what good quality dementia assessment, diagnosis and care looks like, alongside the policy drivers and strategic context for transforming dementia care. It aims to set out why it is of importance to commissioners in supporting the commitments in the Prime Minister’s challenge on dementia 2020.</w:t>
      </w:r>
    </w:p>
    <w:p w:rsidR="002F5F5B" w:rsidRDefault="002F5F5B" w:rsidP="00257914"/>
    <w:p w:rsidR="00AE4FA0" w:rsidRPr="00AE4FA0" w:rsidRDefault="00AE4FA0" w:rsidP="00257914">
      <w:pPr>
        <w:rPr>
          <w:b/>
        </w:rPr>
      </w:pPr>
      <w:r w:rsidRPr="00AE4FA0">
        <w:rPr>
          <w:b/>
        </w:rPr>
        <w:t>Reducing Your Risk of Dementia</w:t>
      </w:r>
    </w:p>
    <w:p w:rsidR="00AE4FA0" w:rsidRPr="00AE4FA0" w:rsidRDefault="00AE4FA0" w:rsidP="002C6B2A">
      <w:pPr>
        <w:rPr>
          <w:lang w:val="en"/>
        </w:rPr>
      </w:pPr>
      <w:r>
        <w:rPr>
          <w:lang w:val="en"/>
        </w:rPr>
        <w:t xml:space="preserve">This </w:t>
      </w:r>
      <w:hyperlink r:id="rId36" w:history="1">
        <w:r w:rsidRPr="00D57237">
          <w:rPr>
            <w:rStyle w:val="Hyperlink"/>
            <w:b/>
            <w:u w:val="single"/>
            <w:lang w:val="en"/>
          </w:rPr>
          <w:t>information leaflet</w:t>
        </w:r>
      </w:hyperlink>
      <w:r>
        <w:rPr>
          <w:lang w:val="en"/>
        </w:rPr>
        <w:t xml:space="preserve"> was produced by Alzheimer’s Research UK and PHE (</w:t>
      </w:r>
      <w:r w:rsidRPr="00D57237">
        <w:rPr>
          <w:b/>
          <w:lang w:val="en"/>
        </w:rPr>
        <w:t>July 2017</w:t>
      </w:r>
      <w:r>
        <w:rPr>
          <w:lang w:val="en"/>
        </w:rPr>
        <w:t xml:space="preserve">) for the public </w:t>
      </w:r>
      <w:r w:rsidR="00D57237">
        <w:rPr>
          <w:lang w:val="en"/>
        </w:rPr>
        <w:t>explaining what dementia is and the associated risk factors and the lifestyle choices that can be made to reduce an individual’s risk of dementia.</w:t>
      </w:r>
    </w:p>
    <w:p w:rsidR="00AE4FA0" w:rsidRDefault="00AE4FA0" w:rsidP="002C6B2A">
      <w:pPr>
        <w:rPr>
          <w:b/>
          <w:lang w:val="en"/>
        </w:rPr>
      </w:pPr>
    </w:p>
    <w:p w:rsidR="002C6B2A" w:rsidRPr="00FA7938" w:rsidRDefault="002C6B2A" w:rsidP="002C6B2A">
      <w:pPr>
        <w:rPr>
          <w:b/>
          <w:lang w:val="en"/>
        </w:rPr>
      </w:pPr>
      <w:r w:rsidRPr="00FA7938">
        <w:rPr>
          <w:b/>
          <w:lang w:val="en"/>
        </w:rPr>
        <w:t>Toolkit for General Practice in Supporting Older People Living with Frailty</w:t>
      </w:r>
    </w:p>
    <w:p w:rsidR="002C6B2A" w:rsidRDefault="002C6B2A" w:rsidP="002C6B2A">
      <w:pPr>
        <w:rPr>
          <w:lang w:val="en"/>
        </w:rPr>
      </w:pPr>
      <w:r>
        <w:rPr>
          <w:lang w:val="en"/>
        </w:rPr>
        <w:t xml:space="preserve">This NHS England produced </w:t>
      </w:r>
      <w:hyperlink r:id="rId37" w:history="1">
        <w:r w:rsidRPr="000D659D">
          <w:rPr>
            <w:rStyle w:val="Hyperlink"/>
            <w:b/>
            <w:u w:val="single"/>
            <w:lang w:val="en"/>
          </w:rPr>
          <w:t>toolkit</w:t>
        </w:r>
      </w:hyperlink>
      <w:r w:rsidRPr="00FA7938">
        <w:rPr>
          <w:b/>
          <w:lang w:val="en"/>
        </w:rPr>
        <w:t xml:space="preserve"> </w:t>
      </w:r>
      <w:r>
        <w:rPr>
          <w:lang w:val="en"/>
        </w:rPr>
        <w:t>(</w:t>
      </w:r>
      <w:r w:rsidRPr="00FA7938">
        <w:rPr>
          <w:b/>
          <w:lang w:val="en"/>
        </w:rPr>
        <w:t xml:space="preserve">updated in </w:t>
      </w:r>
      <w:r>
        <w:rPr>
          <w:b/>
          <w:lang w:val="en"/>
        </w:rPr>
        <w:t xml:space="preserve">March </w:t>
      </w:r>
      <w:r w:rsidRPr="00FA7938">
        <w:rPr>
          <w:b/>
          <w:lang w:val="en"/>
        </w:rPr>
        <w:t>2017</w:t>
      </w:r>
      <w:r>
        <w:rPr>
          <w:lang w:val="en"/>
        </w:rPr>
        <w:t>) is aimed at GPs, practice nurses and the wider primary care workforce to enable them to proactively case find those at risk of frailty to target prevention strategies, as well as assess and manage those people who are already living with frailty (65 years and older). This toolkit supports the delivery of the 2017 GP contract.</w:t>
      </w:r>
    </w:p>
    <w:p w:rsidR="00FB2CBA" w:rsidRDefault="00FB2CBA" w:rsidP="002C6B2A">
      <w:pPr>
        <w:rPr>
          <w:lang w:val="en"/>
        </w:rPr>
      </w:pPr>
    </w:p>
    <w:p w:rsidR="00FB2CBA" w:rsidRPr="00665EDB" w:rsidRDefault="00FB2CBA" w:rsidP="00FB2CBA">
      <w:pPr>
        <w:rPr>
          <w:b/>
          <w:lang w:val="en"/>
        </w:rPr>
      </w:pPr>
      <w:r w:rsidRPr="00665EDB">
        <w:rPr>
          <w:b/>
          <w:lang w:val="en"/>
        </w:rPr>
        <w:t>NHS England Dementia: Good Care Planning</w:t>
      </w:r>
    </w:p>
    <w:p w:rsidR="00FB2CBA" w:rsidRDefault="00FB2CBA" w:rsidP="00FB2CBA">
      <w:pPr>
        <w:rPr>
          <w:lang w:val="en"/>
        </w:rPr>
      </w:pPr>
      <w:r>
        <w:rPr>
          <w:lang w:val="en"/>
        </w:rPr>
        <w:t>Th</w:t>
      </w:r>
      <w:r w:rsidR="00C21D52">
        <w:rPr>
          <w:lang w:val="en"/>
        </w:rPr>
        <w:t>is</w:t>
      </w:r>
      <w:r>
        <w:rPr>
          <w:lang w:val="en"/>
        </w:rPr>
        <w:t xml:space="preserve"> </w:t>
      </w:r>
      <w:hyperlink r:id="rId38" w:history="1">
        <w:r w:rsidRPr="00FB2CBA">
          <w:rPr>
            <w:rStyle w:val="Hyperlink"/>
            <w:b/>
            <w:u w:val="single"/>
            <w:lang w:val="en"/>
          </w:rPr>
          <w:t>document</w:t>
        </w:r>
      </w:hyperlink>
      <w:r>
        <w:rPr>
          <w:lang w:val="en"/>
        </w:rPr>
        <w:t xml:space="preserve"> (</w:t>
      </w:r>
      <w:r w:rsidRPr="00665EDB">
        <w:rPr>
          <w:b/>
          <w:lang w:val="en"/>
        </w:rPr>
        <w:t>February 2017</w:t>
      </w:r>
      <w:r>
        <w:rPr>
          <w:lang w:val="en"/>
        </w:rPr>
        <w:t>) is aimed at primary care providers and commissioners and provides information to help improve dementia care planning. It details areas of good practice and key characteristics of a person-centred dementia care plan. This document is in line with the commitments set out in the Prime Minister’s challenge on dementia 2020.</w:t>
      </w:r>
    </w:p>
    <w:p w:rsidR="002C6B2A" w:rsidRDefault="002C6B2A" w:rsidP="00257914"/>
    <w:p w:rsidR="004576E3" w:rsidRPr="00DE6ED5" w:rsidRDefault="004576E3" w:rsidP="004576E3">
      <w:pPr>
        <w:rPr>
          <w:b/>
        </w:rPr>
      </w:pPr>
      <w:r w:rsidRPr="00DE6ED5">
        <w:rPr>
          <w:b/>
        </w:rPr>
        <w:t>Dementia Data and Analysis: A Guide for Health Professionals</w:t>
      </w:r>
    </w:p>
    <w:p w:rsidR="004576E3" w:rsidRDefault="004576E3" w:rsidP="004576E3">
      <w:r>
        <w:t xml:space="preserve">This PHE </w:t>
      </w:r>
      <w:hyperlink r:id="rId39" w:history="1">
        <w:r w:rsidRPr="00274D45">
          <w:rPr>
            <w:rStyle w:val="Hyperlink"/>
            <w:b/>
            <w:u w:val="single"/>
          </w:rPr>
          <w:t>guidance</w:t>
        </w:r>
      </w:hyperlink>
      <w:r>
        <w:t xml:space="preserve"> (</w:t>
      </w:r>
      <w:r w:rsidRPr="002C6B2A">
        <w:rPr>
          <w:b/>
        </w:rPr>
        <w:t>September 2016</w:t>
      </w:r>
      <w:r>
        <w:t xml:space="preserve">) details how commissioners and providers can utilise data and analysis for dementia service and intervention decision making. </w:t>
      </w:r>
    </w:p>
    <w:p w:rsidR="008504E6" w:rsidRDefault="008504E6" w:rsidP="004576E3"/>
    <w:p w:rsidR="00274D45" w:rsidRPr="009D760A" w:rsidRDefault="00274D45" w:rsidP="00274D45">
      <w:pPr>
        <w:rPr>
          <w:b/>
        </w:rPr>
      </w:pPr>
      <w:r w:rsidRPr="009D760A">
        <w:rPr>
          <w:b/>
        </w:rPr>
        <w:t>Health Matters: Midlife Approaches to Reduce Dementia Risk</w:t>
      </w:r>
    </w:p>
    <w:p w:rsidR="00274D45" w:rsidRDefault="00274D45" w:rsidP="00274D45">
      <w:r>
        <w:t xml:space="preserve">This PHE </w:t>
      </w:r>
      <w:hyperlink r:id="rId40" w:history="1">
        <w:r w:rsidRPr="00274D45">
          <w:rPr>
            <w:rStyle w:val="Hyperlink"/>
            <w:b/>
            <w:u w:val="single"/>
          </w:rPr>
          <w:t>guidance</w:t>
        </w:r>
      </w:hyperlink>
      <w:r>
        <w:t xml:space="preserve"> (</w:t>
      </w:r>
      <w:r w:rsidRPr="00990541">
        <w:rPr>
          <w:b/>
        </w:rPr>
        <w:t>March 2016</w:t>
      </w:r>
      <w:r>
        <w:t xml:space="preserve">) is aimed at health professionals and local authority commissioners and makes a case for action in midlife to promote healthier lifestyles that can reduce dementia risk. It details the scale of the challenge; the risk factors of dementia; actions that can be taken to lower the risk of dementia and the role of CCGs and local authorities. </w:t>
      </w:r>
    </w:p>
    <w:p w:rsidR="00274D45" w:rsidRDefault="00274D45" w:rsidP="004576E3"/>
    <w:p w:rsidR="008504E6" w:rsidRPr="00D93365" w:rsidRDefault="008504E6" w:rsidP="008504E6">
      <w:pPr>
        <w:rPr>
          <w:b/>
        </w:rPr>
      </w:pPr>
      <w:r w:rsidRPr="00D93365">
        <w:rPr>
          <w:b/>
        </w:rPr>
        <w:t>A Practical Guide to Healthy Ageing</w:t>
      </w:r>
    </w:p>
    <w:p w:rsidR="004576E3" w:rsidRDefault="008504E6" w:rsidP="00257914">
      <w:r>
        <w:lastRenderedPageBreak/>
        <w:t xml:space="preserve">NHS and Age UK produced this </w:t>
      </w:r>
      <w:hyperlink r:id="rId41" w:history="1">
        <w:r w:rsidRPr="008504E6">
          <w:rPr>
            <w:rStyle w:val="Hyperlink"/>
            <w:b/>
            <w:u w:val="single"/>
          </w:rPr>
          <w:t>practical guide</w:t>
        </w:r>
      </w:hyperlink>
      <w:r>
        <w:t xml:space="preserve"> (</w:t>
      </w:r>
      <w:r>
        <w:rPr>
          <w:b/>
        </w:rPr>
        <w:t>October 2015</w:t>
      </w:r>
      <w:r>
        <w:t xml:space="preserve">) </w:t>
      </w:r>
      <w:r w:rsidRPr="007D061B">
        <w:t>to</w:t>
      </w:r>
      <w:r w:rsidR="008E7B5F">
        <w:t xml:space="preserve"> healthy ageing </w:t>
      </w:r>
      <w:r>
        <w:t>aimed at people aged 70 years or older and gives advice to help people to live well and remain independent.</w:t>
      </w:r>
    </w:p>
    <w:p w:rsidR="00FB2CBA" w:rsidRDefault="00FB2CBA" w:rsidP="00257914"/>
    <w:p w:rsidR="00FB2CBA" w:rsidRDefault="00FB2CBA" w:rsidP="00FB2CBA">
      <w:pPr>
        <w:rPr>
          <w:b/>
          <w:lang w:val="en"/>
        </w:rPr>
      </w:pPr>
      <w:r w:rsidRPr="005531D8">
        <w:rPr>
          <w:b/>
          <w:lang w:val="en"/>
        </w:rPr>
        <w:t>Dementia-Friendly Health and Social Care Environments</w:t>
      </w:r>
    </w:p>
    <w:p w:rsidR="00FB2CBA" w:rsidRDefault="00FB2CBA" w:rsidP="00FB2CBA">
      <w:pPr>
        <w:rPr>
          <w:lang w:val="en"/>
        </w:rPr>
      </w:pPr>
      <w:r>
        <w:rPr>
          <w:lang w:val="en"/>
        </w:rPr>
        <w:t xml:space="preserve">The Department of Health and Social Care published this </w:t>
      </w:r>
      <w:hyperlink r:id="rId42" w:history="1">
        <w:r w:rsidRPr="008E7B5F">
          <w:rPr>
            <w:rStyle w:val="Hyperlink"/>
            <w:b/>
            <w:u w:val="single"/>
            <w:lang w:val="en"/>
          </w:rPr>
          <w:t>health building note</w:t>
        </w:r>
      </w:hyperlink>
      <w:r>
        <w:rPr>
          <w:lang w:val="en"/>
        </w:rPr>
        <w:t xml:space="preserve"> (</w:t>
      </w:r>
      <w:r w:rsidRPr="006374B5">
        <w:rPr>
          <w:b/>
          <w:lang w:val="en"/>
        </w:rPr>
        <w:t>March 2015</w:t>
      </w:r>
      <w:r>
        <w:rPr>
          <w:lang w:val="en"/>
        </w:rPr>
        <w:t xml:space="preserve">) which details design guidance and a series of case studies  for dementia-friendly health and social care settings; both new environments and the adaptation or extension of existing facilities. The executive summary document also details the final recommendations report for improving the environment of care for people with dementia. </w:t>
      </w:r>
    </w:p>
    <w:p w:rsidR="00333A6D" w:rsidRDefault="00333A6D" w:rsidP="00257914"/>
    <w:p w:rsidR="00425D84" w:rsidRPr="00874014" w:rsidRDefault="00425D84" w:rsidP="00257914"/>
    <w:p w:rsidR="00257914" w:rsidRDefault="00257914" w:rsidP="00257914">
      <w:pPr>
        <w:rPr>
          <w:szCs w:val="24"/>
          <w:lang w:val="en"/>
        </w:rPr>
      </w:pPr>
      <w:r w:rsidRPr="00DE07C9">
        <w:rPr>
          <w:noProof/>
          <w:szCs w:val="24"/>
          <w:lang w:eastAsia="en-GB"/>
        </w:rPr>
        <mc:AlternateContent>
          <mc:Choice Requires="wps">
            <w:drawing>
              <wp:anchor distT="0" distB="0" distL="114300" distR="114300" simplePos="0" relativeHeight="251669504" behindDoc="0" locked="0" layoutInCell="1" allowOverlap="1" wp14:anchorId="323492BF" wp14:editId="25EE754A">
                <wp:simplePos x="0" y="0"/>
                <wp:positionH relativeFrom="column">
                  <wp:posOffset>-762635</wp:posOffset>
                </wp:positionH>
                <wp:positionV relativeFrom="paragraph">
                  <wp:posOffset>101600</wp:posOffset>
                </wp:positionV>
                <wp:extent cx="7824470" cy="371475"/>
                <wp:effectExtent l="0" t="0" r="508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492BF" id="_x0000_s1028" type="#_x0000_t202" style="position:absolute;margin-left:-60.05pt;margin-top:8pt;width:616.1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" fillcolor="#980029" stroked="f">
                <v:textbox>
                  <w:txbxContent>
                    <w:p w:rsidR="00257914" w:rsidRPr="00DE07C9" w:rsidRDefault="00257914" w:rsidP="00257914">
                      <w:pPr>
                        <w:spacing w:line="480" w:lineRule="auto"/>
                        <w:ind w:left="720"/>
                        <w:rPr>
                          <w:b/>
                          <w:color w:val="FFFFFF" w:themeColor="background1"/>
                          <w:sz w:val="32"/>
                          <w:szCs w:val="32"/>
                        </w:rPr>
                      </w:pPr>
                      <w:r>
                        <w:rPr>
                          <w:b/>
                          <w:color w:val="FFFFFF" w:themeColor="background1"/>
                          <w:sz w:val="32"/>
                          <w:szCs w:val="32"/>
                        </w:rPr>
                        <w:t xml:space="preserve">    NICE Guidelines and Quality Standards</w:t>
                      </w:r>
                    </w:p>
                  </w:txbxContent>
                </v:textbox>
              </v:shape>
            </w:pict>
          </mc:Fallback>
        </mc:AlternateContent>
      </w:r>
    </w:p>
    <w:p w:rsidR="00A51235" w:rsidRDefault="00A51235" w:rsidP="00257914">
      <w:pPr>
        <w:rPr>
          <w:szCs w:val="24"/>
          <w:lang w:val="en"/>
        </w:rPr>
      </w:pPr>
    </w:p>
    <w:p w:rsidR="00257914" w:rsidRDefault="00257914" w:rsidP="00257914">
      <w:pPr>
        <w:rPr>
          <w:szCs w:val="24"/>
          <w:lang w:val="en"/>
        </w:rPr>
      </w:pPr>
    </w:p>
    <w:p w:rsidR="00271066" w:rsidRDefault="00271066" w:rsidP="002358A6">
      <w:pPr>
        <w:rPr>
          <w:szCs w:val="24"/>
          <w:u w:val="single"/>
          <w:lang w:val="en"/>
        </w:rPr>
      </w:pPr>
    </w:p>
    <w:p w:rsidR="004A36E8" w:rsidRDefault="00671C96" w:rsidP="003F6A0B">
      <w:hyperlink r:id="rId43" w:history="1">
        <w:r w:rsidR="004A36E8" w:rsidRPr="004A36E8">
          <w:rPr>
            <w:rStyle w:val="Hyperlink"/>
            <w:b/>
            <w:u w:val="single"/>
          </w:rPr>
          <w:t>Dementia</w:t>
        </w:r>
      </w:hyperlink>
      <w:r w:rsidR="004A36E8">
        <w:t xml:space="preserve"> – updated quality standard in development and expected </w:t>
      </w:r>
      <w:r w:rsidR="004A36E8" w:rsidRPr="004A36E8">
        <w:rPr>
          <w:b/>
        </w:rPr>
        <w:t>June 2019</w:t>
      </w:r>
      <w:r w:rsidR="004A36E8">
        <w:t xml:space="preserve">. </w:t>
      </w:r>
    </w:p>
    <w:p w:rsidR="004A36E8" w:rsidRPr="004A36E8" w:rsidRDefault="004A36E8" w:rsidP="003F6A0B"/>
    <w:p w:rsidR="003F6A0B" w:rsidRDefault="00671C96" w:rsidP="003F6A0B">
      <w:hyperlink r:id="rId44" w:history="1">
        <w:r w:rsidR="003F6A0B" w:rsidRPr="003F6A0B">
          <w:rPr>
            <w:rStyle w:val="Hyperlink"/>
            <w:b/>
            <w:u w:val="single"/>
          </w:rPr>
          <w:t>Dementia: Independence and Wellbeing</w:t>
        </w:r>
      </w:hyperlink>
      <w:r w:rsidR="003F6A0B">
        <w:t xml:space="preserve"> (</w:t>
      </w:r>
      <w:r w:rsidR="003F6A0B" w:rsidRPr="00553C60">
        <w:rPr>
          <w:b/>
        </w:rPr>
        <w:t>Last reviewed 2017, with changes made in 2018</w:t>
      </w:r>
      <w:r w:rsidR="003F6A0B">
        <w:t>) – This quality standard is for all social care settings and services working with and providing care for people with dementia or suspected dementia. It covers supporting people with dementia to live well and remain independent.</w:t>
      </w:r>
    </w:p>
    <w:p w:rsidR="003F6A0B" w:rsidRDefault="003F6A0B" w:rsidP="003F6A0B"/>
    <w:p w:rsidR="003F6A0B" w:rsidRDefault="003F6A0B" w:rsidP="003F6A0B">
      <w:r>
        <w:t xml:space="preserve">It should be read alongside the NICE quality standard for </w:t>
      </w:r>
      <w:hyperlink r:id="rId45" w:history="1">
        <w:r w:rsidRPr="003F6A0B">
          <w:rPr>
            <w:rStyle w:val="Hyperlink"/>
            <w:b/>
            <w:u w:val="single"/>
          </w:rPr>
          <w:t>dementia: support in health and social care</w:t>
        </w:r>
      </w:hyperlink>
      <w:r>
        <w:t xml:space="preserve"> (</w:t>
      </w:r>
      <w:r w:rsidRPr="00553C60">
        <w:rPr>
          <w:b/>
        </w:rPr>
        <w:t>last reviewed 2017, with changes made in 2018</w:t>
      </w:r>
      <w:r>
        <w:t xml:space="preserve">), which covers care provided by health and social care staff within acute, community and specialist care settings, for people with dementia. This includes the assessment, diagnosis, care planning and respite services for carers of people with dementia. </w:t>
      </w:r>
    </w:p>
    <w:p w:rsidR="00A25D12" w:rsidRDefault="00A25D12" w:rsidP="003F6A0B"/>
    <w:p w:rsidR="00A25D12" w:rsidRPr="003B72F2" w:rsidRDefault="00671C96" w:rsidP="00A25D12">
      <w:pPr>
        <w:rPr>
          <w:szCs w:val="24"/>
          <w:lang w:val="en"/>
        </w:rPr>
      </w:pPr>
      <w:hyperlink r:id="rId46" w:history="1">
        <w:r w:rsidR="00AA30D3">
          <w:rPr>
            <w:rStyle w:val="Hyperlink"/>
            <w:b/>
            <w:szCs w:val="24"/>
            <w:u w:val="single"/>
            <w:lang w:val="en"/>
          </w:rPr>
          <w:t>Mental Wellbeing of Older People in Care H</w:t>
        </w:r>
        <w:r w:rsidR="00A25D12" w:rsidRPr="003B72F2">
          <w:rPr>
            <w:rStyle w:val="Hyperlink"/>
            <w:b/>
            <w:szCs w:val="24"/>
            <w:u w:val="single"/>
            <w:lang w:val="en"/>
          </w:rPr>
          <w:t>omes</w:t>
        </w:r>
      </w:hyperlink>
      <w:r w:rsidR="00A25D12">
        <w:rPr>
          <w:b/>
          <w:szCs w:val="24"/>
          <w:lang w:val="en"/>
        </w:rPr>
        <w:t xml:space="preserve"> </w:t>
      </w:r>
      <w:r w:rsidR="00A25D12">
        <w:t>(</w:t>
      </w:r>
      <w:r w:rsidR="00A25D12" w:rsidRPr="00553C60">
        <w:rPr>
          <w:b/>
        </w:rPr>
        <w:t>Last reviewed 2017, with changes made in 2018</w:t>
      </w:r>
      <w:r w:rsidR="008E7B5F">
        <w:t>) – This</w:t>
      </w:r>
      <w:r w:rsidR="00A25D12">
        <w:t xml:space="preserve"> quality standard includes those aged 65 and over who are receiving care in residential and nursing accommodation, day care and respite care.  It focuses on support for people’s mental wellbeing to ensure that they are able to remain independent and well for as long as possible. Tools and resources for implementation and service improvement are provided. </w:t>
      </w:r>
    </w:p>
    <w:p w:rsidR="003F6A0B" w:rsidRDefault="003F6A0B" w:rsidP="003F6A0B"/>
    <w:p w:rsidR="003F6A0B" w:rsidRDefault="00671C96" w:rsidP="003F6A0B">
      <w:hyperlink r:id="rId47" w:history="1">
        <w:r w:rsidR="003F6A0B" w:rsidRPr="003F6A0B">
          <w:rPr>
            <w:rStyle w:val="Hyperlink"/>
            <w:b/>
            <w:u w:val="single"/>
          </w:rPr>
          <w:t>Dementia: Assessment, Management and Support for People Living with Dementia and their Carers</w:t>
        </w:r>
      </w:hyperlink>
      <w:r w:rsidR="003F6A0B" w:rsidRPr="00553C60">
        <w:rPr>
          <w:b/>
        </w:rPr>
        <w:t xml:space="preserve"> </w:t>
      </w:r>
      <w:r w:rsidR="003F6A0B" w:rsidRPr="00553C60">
        <w:t>(</w:t>
      </w:r>
      <w:r w:rsidR="003F6A0B" w:rsidRPr="00553C60">
        <w:rPr>
          <w:b/>
        </w:rPr>
        <w:t>June 2018</w:t>
      </w:r>
      <w:r w:rsidR="003F6A0B" w:rsidRPr="00553C60">
        <w:t>)</w:t>
      </w:r>
      <w:r w:rsidR="003F6A0B">
        <w:t xml:space="preserve"> – This NICE guideline covers the assessment, diagnosis and management of dementia (including Alzheimer’s disease). It make recommendations around staff training, interventions and help for carers who support people living with dementia and aims to improve care. </w:t>
      </w:r>
    </w:p>
    <w:p w:rsidR="00AA30D3" w:rsidRDefault="00AA30D3" w:rsidP="003F6A0B"/>
    <w:p w:rsidR="00AA30D3" w:rsidRDefault="00671C96" w:rsidP="003F6A0B">
      <w:hyperlink r:id="rId48" w:history="1">
        <w:r w:rsidR="00AA30D3" w:rsidRPr="00AA30D3">
          <w:rPr>
            <w:rStyle w:val="Hyperlink"/>
            <w:b/>
            <w:u w:val="single"/>
          </w:rPr>
          <w:t>Mental Wellbeing in Over 65s: Occupational Therapy and Physical Activity Interventions</w:t>
        </w:r>
      </w:hyperlink>
      <w:r w:rsidR="00AA30D3">
        <w:t xml:space="preserve"> (</w:t>
      </w:r>
      <w:r w:rsidR="00AA30D3" w:rsidRPr="00AA30D3">
        <w:rPr>
          <w:b/>
        </w:rPr>
        <w:t>Last reviewed March 2018, with changes due to be made</w:t>
      </w:r>
      <w:r w:rsidR="00AA30D3">
        <w:t xml:space="preserve">) – This </w:t>
      </w:r>
      <w:r w:rsidR="006D0C25">
        <w:t>public health guideline</w:t>
      </w:r>
      <w:r w:rsidR="00AA30D3">
        <w:t xml:space="preserve"> makes recommendations around </w:t>
      </w:r>
      <w:r w:rsidR="006D0C25">
        <w:t>practical support individuals aged 65 and over may need to promote their mental wellbeing. This includes occupational therapy interventions, walking schemes, physical activity and training. There are several supporting tools and resources.</w:t>
      </w:r>
    </w:p>
    <w:p w:rsidR="003F6A0B" w:rsidRDefault="003F6A0B" w:rsidP="003F6A0B"/>
    <w:p w:rsidR="003F6A0B" w:rsidRDefault="00671C96" w:rsidP="003F6A0B">
      <w:hyperlink r:id="rId49" w:history="1">
        <w:r w:rsidR="003F6A0B" w:rsidRPr="003F6A0B">
          <w:rPr>
            <w:rStyle w:val="Hyperlink"/>
            <w:b/>
            <w:u w:val="single"/>
          </w:rPr>
          <w:t>Older People: Independence and Mental Wellbeing</w:t>
        </w:r>
      </w:hyperlink>
      <w:r w:rsidR="003F6A0B">
        <w:rPr>
          <w:b/>
        </w:rPr>
        <w:t xml:space="preserve"> </w:t>
      </w:r>
      <w:r w:rsidR="003F6A0B">
        <w:t>(</w:t>
      </w:r>
      <w:r w:rsidR="003F6A0B">
        <w:rPr>
          <w:b/>
        </w:rPr>
        <w:t>Last reviewed March 2018</w:t>
      </w:r>
      <w:r w:rsidR="003F6A0B" w:rsidRPr="00B47FA3">
        <w:t>)</w:t>
      </w:r>
      <w:r w:rsidR="003F6A0B">
        <w:t xml:space="preserve"> – This NICE guideline covers interventions for older people (those aged 65 and over), in order to maintain and improve their mental wellbeing and independence and how to identify those most at risk of decline. It sets out several recommendations for commissioners to take into account in any service specifications. </w:t>
      </w:r>
    </w:p>
    <w:p w:rsidR="003F6A0B" w:rsidRDefault="003F6A0B" w:rsidP="003F6A0B"/>
    <w:p w:rsidR="005D00BD" w:rsidRDefault="00671C96" w:rsidP="003F6A0B">
      <w:hyperlink r:id="rId50" w:history="1">
        <w:r w:rsidR="005D00BD" w:rsidRPr="005D00BD">
          <w:rPr>
            <w:rStyle w:val="Hyperlink"/>
            <w:b/>
            <w:u w:val="single"/>
          </w:rPr>
          <w:t>Home Care: Delivering Personal Care and Practical Support to Older People Living in Their Own Homes</w:t>
        </w:r>
      </w:hyperlink>
      <w:r w:rsidR="005D00BD">
        <w:t xml:space="preserve"> (</w:t>
      </w:r>
      <w:r w:rsidR="005D00BD" w:rsidRPr="005D00BD">
        <w:rPr>
          <w:b/>
        </w:rPr>
        <w:t>Last reviewed December 2017</w:t>
      </w:r>
      <w:r w:rsidR="005D00BD">
        <w:t>) – This NICE guidelines aims to promote older people’s independence and to ensure the planning and delivery of care for older people living in their own homes is safe and consistently high quality. The Care Quality Commission uses NICE guidelines to inform their inspection process. Tools and resources are available to help put the guidance into practice.</w:t>
      </w:r>
    </w:p>
    <w:p w:rsidR="005D00BD" w:rsidRDefault="005D00BD" w:rsidP="003F6A0B"/>
    <w:p w:rsidR="003F6A0B" w:rsidRDefault="00671C96" w:rsidP="003F6A0B">
      <w:pPr>
        <w:rPr>
          <w:lang w:val="en"/>
        </w:rPr>
      </w:pPr>
      <w:hyperlink r:id="rId51" w:history="1">
        <w:r w:rsidR="003F6A0B" w:rsidRPr="003F6A0B">
          <w:rPr>
            <w:rStyle w:val="Hyperlink"/>
            <w:b/>
            <w:u w:val="single"/>
            <w:lang w:val="en"/>
          </w:rPr>
          <w:t>Falls in Older People</w:t>
        </w:r>
      </w:hyperlink>
      <w:r w:rsidR="003F6A0B">
        <w:rPr>
          <w:b/>
          <w:lang w:val="en"/>
        </w:rPr>
        <w:t xml:space="preserve"> </w:t>
      </w:r>
      <w:r w:rsidR="003F6A0B">
        <w:rPr>
          <w:lang w:val="en"/>
        </w:rPr>
        <w:t>(</w:t>
      </w:r>
      <w:r w:rsidR="003F6A0B" w:rsidRPr="001C376F">
        <w:rPr>
          <w:b/>
          <w:lang w:val="en"/>
        </w:rPr>
        <w:t>Last reviewed January 2017</w:t>
      </w:r>
      <w:r w:rsidR="003F6A0B">
        <w:rPr>
          <w:lang w:val="en"/>
        </w:rPr>
        <w:t xml:space="preserve">) – This quality standard covers people aged 65 and over relating to the prevention of falls and assessment after a fall, for those who are living in the community or staying in hospital. </w:t>
      </w:r>
    </w:p>
    <w:p w:rsidR="003F6A0B" w:rsidRDefault="003F6A0B" w:rsidP="003F6A0B"/>
    <w:p w:rsidR="003F6A0B" w:rsidRDefault="00671C96" w:rsidP="003F6A0B">
      <w:hyperlink r:id="rId52" w:history="1">
        <w:r w:rsidR="003F6A0B" w:rsidRPr="003F6A0B">
          <w:rPr>
            <w:rStyle w:val="Hyperlink"/>
            <w:b/>
            <w:u w:val="single"/>
          </w:rPr>
          <w:t>Mental Wellbeing and Independence for Older People</w:t>
        </w:r>
      </w:hyperlink>
      <w:r w:rsidR="003F6A0B">
        <w:t xml:space="preserve"> (</w:t>
      </w:r>
      <w:r w:rsidR="003F6A0B">
        <w:rPr>
          <w:b/>
        </w:rPr>
        <w:t>Last reviewed in 2017</w:t>
      </w:r>
      <w:r w:rsidR="003F6A0B" w:rsidRPr="00D338C3">
        <w:t xml:space="preserve">) </w:t>
      </w:r>
      <w:r w:rsidR="008E7B5F">
        <w:t>– This</w:t>
      </w:r>
      <w:r w:rsidR="003F6A0B">
        <w:t xml:space="preserve"> quality standard covers interventions for older people (those aged 65 and over), in order to maintain and improve their mental wellbeing and independence and how to identify those most at risk of decline. It sets out three quality statements and describes high quality care in these areas. It does not cover those who reside in a care home or attend one on a day visit basis.</w:t>
      </w:r>
    </w:p>
    <w:p w:rsidR="00F7472A" w:rsidRDefault="00F7472A" w:rsidP="003F6A0B"/>
    <w:p w:rsidR="00F7472A" w:rsidRPr="002A3948" w:rsidRDefault="00671C96" w:rsidP="003F6A0B">
      <w:hyperlink r:id="rId53" w:history="1">
        <w:r w:rsidR="00F7472A" w:rsidRPr="002A3948">
          <w:rPr>
            <w:rStyle w:val="Hyperlink"/>
            <w:b/>
            <w:u w:val="single"/>
          </w:rPr>
          <w:t>Social Care for Older People with Multiple Long-Term Conditions</w:t>
        </w:r>
      </w:hyperlink>
      <w:r w:rsidR="00F7472A" w:rsidRPr="002A3948">
        <w:rPr>
          <w:b/>
          <w:u w:val="single"/>
        </w:rPr>
        <w:t xml:space="preserve"> </w:t>
      </w:r>
      <w:r w:rsidR="002A3948">
        <w:t>(</w:t>
      </w:r>
      <w:r w:rsidR="002A3948" w:rsidRPr="002A3948">
        <w:rPr>
          <w:b/>
        </w:rPr>
        <w:t>Last reviewed 2017</w:t>
      </w:r>
      <w:r w:rsidR="002A3948">
        <w:t xml:space="preserve">) – This quality standard </w:t>
      </w:r>
      <w:r w:rsidR="00594605">
        <w:t>is for older people aged 65 years and over with multiple long-term conditions and covers the planning and delivered of their social care and support. It covers people living in their own homes as well as those in specialist settings or care home. It includes implementation and improvement resources.</w:t>
      </w:r>
    </w:p>
    <w:p w:rsidR="003F6A0B" w:rsidRDefault="003F6A0B" w:rsidP="003F6A0B"/>
    <w:p w:rsidR="003F6A0B" w:rsidRDefault="00671C96" w:rsidP="003F6A0B">
      <w:pPr>
        <w:rPr>
          <w:lang w:val="en"/>
        </w:rPr>
      </w:pPr>
      <w:hyperlink r:id="rId54" w:history="1">
        <w:r w:rsidR="003F6A0B" w:rsidRPr="003F6A0B">
          <w:rPr>
            <w:rStyle w:val="Hyperlink"/>
            <w:b/>
            <w:u w:val="single"/>
          </w:rPr>
          <w:t>Falls in Older People: Assessing Risk and Prevention</w:t>
        </w:r>
      </w:hyperlink>
      <w:r w:rsidR="003F6A0B">
        <w:rPr>
          <w:b/>
        </w:rPr>
        <w:t xml:space="preserve"> </w:t>
      </w:r>
      <w:r w:rsidR="003F6A0B">
        <w:t>(</w:t>
      </w:r>
      <w:r w:rsidR="003F6A0B" w:rsidRPr="00505C19">
        <w:rPr>
          <w:b/>
        </w:rPr>
        <w:t>Last reviewed January 2016</w:t>
      </w:r>
      <w:r w:rsidR="003F6A0B">
        <w:t xml:space="preserve">) – This clinical guideline covers people aged 65 and over and aims to reduce the risk and incidence of falls and the pain, distress, injury, loss of confidence, loss of independence and mortality that is associated. </w:t>
      </w:r>
      <w:r w:rsidR="003F6A0B" w:rsidRPr="009E58B7">
        <w:rPr>
          <w:lang w:val="en"/>
        </w:rPr>
        <w:t>This guideline includes recommendations, tools and resources to help with implementation.</w:t>
      </w:r>
    </w:p>
    <w:p w:rsidR="003F6A0B" w:rsidRDefault="003F6A0B" w:rsidP="003F6A0B"/>
    <w:p w:rsidR="003F6A0B" w:rsidRDefault="00671C96" w:rsidP="003F6A0B">
      <w:hyperlink r:id="rId55" w:history="1">
        <w:r w:rsidR="003F6A0B" w:rsidRPr="003F6A0B">
          <w:rPr>
            <w:rStyle w:val="Hyperlink"/>
            <w:b/>
            <w:u w:val="single"/>
          </w:rPr>
          <w:t>Dementia, Disability and Frailty in Later Life: Mid-life Approaches to Delay or Prevent Onset</w:t>
        </w:r>
      </w:hyperlink>
      <w:r w:rsidR="003F6A0B" w:rsidRPr="00553C60">
        <w:rPr>
          <w:b/>
        </w:rPr>
        <w:t xml:space="preserve"> </w:t>
      </w:r>
      <w:r w:rsidR="003F6A0B" w:rsidRPr="00553C60">
        <w:t>(</w:t>
      </w:r>
      <w:r w:rsidR="003F6A0B" w:rsidRPr="00553C60">
        <w:rPr>
          <w:b/>
        </w:rPr>
        <w:t>October 2015</w:t>
      </w:r>
      <w:r w:rsidR="003F6A0B" w:rsidRPr="00553C60">
        <w:t>)</w:t>
      </w:r>
      <w:r w:rsidR="003F6A0B">
        <w:t xml:space="preserve"> – This NICE guideline aims to increase the amount of time that people can remain active, healthy and independent in later life and includes recommendations to reduce the risk of or delay the onset of disability, dementia and frailty. </w:t>
      </w:r>
    </w:p>
    <w:p w:rsidR="003F6A0B" w:rsidRDefault="003F6A0B" w:rsidP="002358A6">
      <w:pPr>
        <w:rPr>
          <w:szCs w:val="24"/>
          <w:u w:val="single"/>
          <w:lang w:val="en"/>
        </w:rPr>
      </w:pPr>
    </w:p>
    <w:p w:rsidR="00533A76" w:rsidRDefault="00533A76" w:rsidP="002358A6">
      <w:pPr>
        <w:rPr>
          <w:szCs w:val="24"/>
          <w:lang w:val="en"/>
        </w:rPr>
      </w:pPr>
    </w:p>
    <w:p w:rsidR="00E024CA" w:rsidRDefault="00F172B0" w:rsidP="00217BAC">
      <w:pPr>
        <w:rPr>
          <w:szCs w:val="24"/>
          <w:lang w:eastAsia="en-GB"/>
        </w:rPr>
      </w:pPr>
      <w:r w:rsidRPr="00DE07C9">
        <w:rPr>
          <w:noProof/>
          <w:szCs w:val="24"/>
          <w:lang w:eastAsia="en-GB"/>
        </w:rPr>
        <mc:AlternateContent>
          <mc:Choice Requires="wps">
            <w:drawing>
              <wp:anchor distT="0" distB="0" distL="114300" distR="114300" simplePos="0" relativeHeight="251667456" behindDoc="0" locked="0" layoutInCell="1" allowOverlap="1" wp14:anchorId="481671CC" wp14:editId="201877C0">
                <wp:simplePos x="0" y="0"/>
                <wp:positionH relativeFrom="column">
                  <wp:posOffset>-762635</wp:posOffset>
                </wp:positionH>
                <wp:positionV relativeFrom="paragraph">
                  <wp:posOffset>101600</wp:posOffset>
                </wp:positionV>
                <wp:extent cx="7824470" cy="371475"/>
                <wp:effectExtent l="0" t="0" r="508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4470" cy="371475"/>
                        </a:xfrm>
                        <a:prstGeom prst="rect">
                          <a:avLst/>
                        </a:prstGeom>
                        <a:solidFill>
                          <a:srgbClr val="980029"/>
                        </a:solidFill>
                        <a:ln w="9525">
                          <a:noFill/>
                          <a:miter lim="800000"/>
                          <a:headEnd/>
                          <a:tailEnd/>
                        </a:ln>
                      </wps:spPr>
                      <wps:txb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671CC" id="_x0000_s1029" type="#_x0000_t202" style="position:absolute;margin-left:-60.05pt;margin-top:8pt;width:616.1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" fillcolor="#980029" stroked="f">
                <v:textbox>
                  <w:txbxContent>
                    <w:p w:rsidR="00F172B0" w:rsidRPr="00DE07C9" w:rsidRDefault="00F172B0" w:rsidP="00F172B0">
                      <w:pPr>
                        <w:spacing w:line="480" w:lineRule="auto"/>
                        <w:ind w:left="720"/>
                        <w:rPr>
                          <w:b/>
                          <w:color w:val="FFFFFF" w:themeColor="background1"/>
                          <w:sz w:val="32"/>
                          <w:szCs w:val="32"/>
                        </w:rPr>
                      </w:pPr>
                      <w:r>
                        <w:rPr>
                          <w:b/>
                          <w:color w:val="FFFFFF" w:themeColor="background1"/>
                          <w:sz w:val="32"/>
                          <w:szCs w:val="32"/>
                        </w:rPr>
                        <w:t xml:space="preserve">    Initiatives and Campaigns</w:t>
                      </w:r>
                    </w:p>
                  </w:txbxContent>
                </v:textbox>
              </v:shape>
            </w:pict>
          </mc:Fallback>
        </mc:AlternateContent>
      </w:r>
      <w:bookmarkEnd w:id="0"/>
    </w:p>
    <w:p w:rsidR="00506903" w:rsidRDefault="00506903" w:rsidP="00506903">
      <w:pPr>
        <w:shd w:val="clear" w:color="auto" w:fill="FFFFFF"/>
        <w:rPr>
          <w:b/>
          <w:szCs w:val="24"/>
          <w:lang w:eastAsia="en-GB"/>
        </w:rPr>
      </w:pPr>
    </w:p>
    <w:p w:rsidR="00EA28D6" w:rsidRDefault="00EA28D6" w:rsidP="00BA441E">
      <w:pPr>
        <w:shd w:val="clear" w:color="auto" w:fill="FFFFFF"/>
        <w:rPr>
          <w:b/>
          <w:szCs w:val="24"/>
          <w:lang w:eastAsia="en-GB"/>
        </w:rPr>
      </w:pPr>
    </w:p>
    <w:p w:rsidR="009244C9" w:rsidRDefault="009244C9" w:rsidP="009244C9">
      <w:pPr>
        <w:shd w:val="clear" w:color="auto" w:fill="FFFFFF"/>
        <w:rPr>
          <w:b/>
          <w:szCs w:val="24"/>
          <w:lang w:eastAsia="en-GB"/>
        </w:rPr>
      </w:pPr>
      <w:r>
        <w:rPr>
          <w:b/>
          <w:szCs w:val="24"/>
          <w:lang w:eastAsia="en-GB"/>
        </w:rPr>
        <w:t>Dementia Friends</w:t>
      </w:r>
      <w:r w:rsidR="005E335B">
        <w:rPr>
          <w:b/>
          <w:szCs w:val="24"/>
          <w:lang w:eastAsia="en-GB"/>
        </w:rPr>
        <w:t xml:space="preserve"> Programme</w:t>
      </w:r>
    </w:p>
    <w:p w:rsidR="004D6262" w:rsidRDefault="009244C9" w:rsidP="009244C9">
      <w:pPr>
        <w:shd w:val="clear" w:color="auto" w:fill="FFFFFF"/>
        <w:rPr>
          <w:szCs w:val="24"/>
          <w:lang w:eastAsia="en-GB"/>
        </w:rPr>
      </w:pPr>
      <w:r>
        <w:rPr>
          <w:szCs w:val="24"/>
          <w:lang w:eastAsia="en-GB"/>
        </w:rPr>
        <w:t xml:space="preserve">This Alzheimer’s Society led </w:t>
      </w:r>
      <w:hyperlink r:id="rId56" w:history="1">
        <w:r w:rsidRPr="005E335B">
          <w:rPr>
            <w:rStyle w:val="Hyperlink"/>
            <w:b/>
            <w:szCs w:val="24"/>
            <w:u w:val="single"/>
            <w:lang w:eastAsia="en-GB"/>
          </w:rPr>
          <w:t>initiative</w:t>
        </w:r>
      </w:hyperlink>
      <w:r>
        <w:rPr>
          <w:szCs w:val="24"/>
          <w:lang w:eastAsia="en-GB"/>
        </w:rPr>
        <w:t xml:space="preserve"> </w:t>
      </w:r>
      <w:r w:rsidR="005E335B">
        <w:rPr>
          <w:szCs w:val="24"/>
          <w:lang w:eastAsia="en-GB"/>
        </w:rPr>
        <w:t xml:space="preserve">aims to transform people’s perceptions of dementia and change the way in which people think, act and talk about the condition. </w:t>
      </w:r>
      <w:r w:rsidR="004D6262">
        <w:rPr>
          <w:szCs w:val="24"/>
          <w:lang w:eastAsia="en-GB"/>
        </w:rPr>
        <w:t xml:space="preserve">Dementia </w:t>
      </w:r>
      <w:r w:rsidR="004D6262">
        <w:rPr>
          <w:szCs w:val="24"/>
          <w:lang w:eastAsia="en-GB"/>
        </w:rPr>
        <w:lastRenderedPageBreak/>
        <w:t xml:space="preserve">Friends Champions run information sessions to help improve understanding of what it’s like to live with dementia and small actions that can be taken. An online video is also available. </w:t>
      </w:r>
    </w:p>
    <w:p w:rsidR="004D6262" w:rsidRDefault="004D6262" w:rsidP="009244C9">
      <w:pPr>
        <w:shd w:val="clear" w:color="auto" w:fill="FFFFFF"/>
        <w:rPr>
          <w:szCs w:val="24"/>
          <w:lang w:eastAsia="en-GB"/>
        </w:rPr>
      </w:pPr>
    </w:p>
    <w:p w:rsidR="009244C9" w:rsidRPr="009244C9" w:rsidRDefault="004D6262" w:rsidP="009244C9">
      <w:pPr>
        <w:shd w:val="clear" w:color="auto" w:fill="FFFFFF"/>
        <w:rPr>
          <w:szCs w:val="24"/>
          <w:lang w:eastAsia="en-GB"/>
        </w:rPr>
      </w:pPr>
      <w:r>
        <w:rPr>
          <w:szCs w:val="24"/>
          <w:lang w:eastAsia="en-GB"/>
        </w:rPr>
        <w:t xml:space="preserve">Organisations can also become dementia friendly and Alzheimer’s Society also runs a </w:t>
      </w:r>
      <w:hyperlink r:id="rId57" w:history="1">
        <w:r w:rsidRPr="00C65A67">
          <w:rPr>
            <w:rStyle w:val="Hyperlink"/>
            <w:b/>
            <w:szCs w:val="24"/>
            <w:u w:val="single"/>
            <w:lang w:eastAsia="en-GB"/>
          </w:rPr>
          <w:t>Dementia Fr</w:t>
        </w:r>
        <w:r w:rsidR="00C65A67" w:rsidRPr="00C65A67">
          <w:rPr>
            <w:rStyle w:val="Hyperlink"/>
            <w:b/>
            <w:szCs w:val="24"/>
            <w:u w:val="single"/>
            <w:lang w:eastAsia="en-GB"/>
          </w:rPr>
          <w:t>iendly Communities</w:t>
        </w:r>
      </w:hyperlink>
      <w:r>
        <w:rPr>
          <w:szCs w:val="24"/>
          <w:lang w:eastAsia="en-GB"/>
        </w:rPr>
        <w:t xml:space="preserve"> programme</w:t>
      </w:r>
      <w:r w:rsidR="009009B5">
        <w:rPr>
          <w:szCs w:val="24"/>
          <w:lang w:eastAsia="en-GB"/>
        </w:rPr>
        <w:t xml:space="preserve"> which aims to improve inclusion and quality of life for people with dementia. This programme encourages communities to sign up and work towards becoming dementia-friendly. </w:t>
      </w:r>
    </w:p>
    <w:p w:rsidR="009244C9" w:rsidRDefault="009244C9" w:rsidP="009244C9">
      <w:pPr>
        <w:shd w:val="clear" w:color="auto" w:fill="FFFFFF"/>
        <w:rPr>
          <w:b/>
          <w:szCs w:val="24"/>
          <w:lang w:eastAsia="en-GB"/>
        </w:rPr>
      </w:pPr>
    </w:p>
    <w:p w:rsidR="00E749DE" w:rsidRDefault="00E749DE" w:rsidP="009244C9">
      <w:pPr>
        <w:shd w:val="clear" w:color="auto" w:fill="FFFFFF"/>
        <w:rPr>
          <w:b/>
          <w:szCs w:val="24"/>
          <w:lang w:eastAsia="en-GB"/>
        </w:rPr>
      </w:pPr>
      <w:r>
        <w:rPr>
          <w:b/>
          <w:szCs w:val="24"/>
          <w:lang w:eastAsia="en-GB"/>
        </w:rPr>
        <w:t>Help Us, Help You – Winter Pressures Campaigns</w:t>
      </w:r>
    </w:p>
    <w:p w:rsidR="00E749DE" w:rsidRPr="00E749DE" w:rsidRDefault="009A7FF0" w:rsidP="009244C9">
      <w:pPr>
        <w:shd w:val="clear" w:color="auto" w:fill="FFFFFF"/>
        <w:rPr>
          <w:szCs w:val="24"/>
          <w:lang w:eastAsia="en-GB"/>
        </w:rPr>
      </w:pPr>
      <w:r>
        <w:rPr>
          <w:szCs w:val="24"/>
          <w:lang w:eastAsia="en-GB"/>
        </w:rPr>
        <w:t xml:space="preserve">NHS England and PHE are introducing a new overarching brand bringing together winter pressures campaigns, this winter. </w:t>
      </w:r>
      <w:r w:rsidR="00E06CD0">
        <w:rPr>
          <w:szCs w:val="24"/>
          <w:lang w:eastAsia="en-GB"/>
        </w:rPr>
        <w:t>In</w:t>
      </w:r>
      <w:r>
        <w:rPr>
          <w:szCs w:val="24"/>
          <w:lang w:eastAsia="en-GB"/>
        </w:rPr>
        <w:t xml:space="preserve"> October 2018, the first two campaigns in the series</w:t>
      </w:r>
      <w:r w:rsidR="00E06CD0">
        <w:rPr>
          <w:szCs w:val="24"/>
          <w:lang w:eastAsia="en-GB"/>
        </w:rPr>
        <w:t xml:space="preserve"> were launched</w:t>
      </w:r>
      <w:r>
        <w:rPr>
          <w:szCs w:val="24"/>
          <w:lang w:eastAsia="en-GB"/>
        </w:rPr>
        <w:t xml:space="preserve">: NHS111 and Stay Well This Winter. </w:t>
      </w:r>
      <w:r w:rsidR="00AF2AE8">
        <w:rPr>
          <w:szCs w:val="24"/>
          <w:lang w:eastAsia="en-GB"/>
        </w:rPr>
        <w:t xml:space="preserve">Further campaigns will be delivered </w:t>
      </w:r>
      <w:r w:rsidR="00E06CD0">
        <w:rPr>
          <w:szCs w:val="24"/>
          <w:lang w:eastAsia="en-GB"/>
        </w:rPr>
        <w:t xml:space="preserve">and </w:t>
      </w:r>
      <w:r w:rsidR="00AF2AE8">
        <w:rPr>
          <w:szCs w:val="24"/>
          <w:lang w:eastAsia="en-GB"/>
        </w:rPr>
        <w:t xml:space="preserve">focus on flu immunisation, community pharmacy and extended GP hours. The campaigns will be delivered in phases, targeting different audiences. More information, resources and promotional materials can be found on the PHE </w:t>
      </w:r>
      <w:hyperlink r:id="rId58" w:history="1">
        <w:r w:rsidR="00AF2AE8" w:rsidRPr="00AF2AE8">
          <w:rPr>
            <w:rStyle w:val="Hyperlink"/>
            <w:b/>
            <w:szCs w:val="24"/>
            <w:u w:val="single"/>
            <w:lang w:eastAsia="en-GB"/>
          </w:rPr>
          <w:t>resource hub</w:t>
        </w:r>
      </w:hyperlink>
      <w:r w:rsidR="00AF2AE8">
        <w:rPr>
          <w:szCs w:val="24"/>
          <w:lang w:eastAsia="en-GB"/>
        </w:rPr>
        <w:t>.</w:t>
      </w:r>
    </w:p>
    <w:p w:rsidR="00E749DE" w:rsidRDefault="00E749DE" w:rsidP="009244C9">
      <w:pPr>
        <w:shd w:val="clear" w:color="auto" w:fill="FFFFFF"/>
        <w:rPr>
          <w:b/>
          <w:szCs w:val="24"/>
          <w:lang w:eastAsia="en-GB"/>
        </w:rPr>
      </w:pPr>
    </w:p>
    <w:p w:rsidR="00F7472A" w:rsidRPr="002F5723" w:rsidRDefault="00F7472A" w:rsidP="00F7472A">
      <w:pPr>
        <w:shd w:val="clear" w:color="auto" w:fill="FFFFFF"/>
        <w:rPr>
          <w:b/>
          <w:szCs w:val="24"/>
          <w:lang w:eastAsia="en-GB"/>
        </w:rPr>
      </w:pPr>
      <w:r w:rsidRPr="00302672">
        <w:rPr>
          <w:b/>
          <w:szCs w:val="24"/>
          <w:lang w:eastAsia="en-GB"/>
        </w:rPr>
        <w:t>NHS Diabetes Prevention Programme</w:t>
      </w:r>
    </w:p>
    <w:p w:rsidR="00F7472A" w:rsidRDefault="00F7472A" w:rsidP="00F7472A">
      <w:pPr>
        <w:shd w:val="clear" w:color="auto" w:fill="FFFFFF"/>
        <w:rPr>
          <w:szCs w:val="24"/>
          <w:lang w:eastAsia="en-GB"/>
        </w:rPr>
      </w:pPr>
      <w:r>
        <w:rPr>
          <w:szCs w:val="24"/>
          <w:lang w:eastAsia="en-GB"/>
        </w:rPr>
        <w:t xml:space="preserve">The Healthier You: NHS Diabetes Prevention Programme was launched in 2016 and is a joint commitment from NHS England, Public Health England and Diabetes UK. Its aim is to support individuals who are at high risk of developing Type 2 diabetes. Those who are referred onto the programme get tailored help and support including education on lifestyle choices, healthier eating and physical activity programmes and their benefits. An annual Diabetes Prevention Week campaign runs in April to raise awareness of the programme and of the causes of Type 2 diabetes. Free promotional materials are available from the PHE </w:t>
      </w:r>
      <w:hyperlink r:id="rId59" w:history="1">
        <w:r w:rsidRPr="002974C4">
          <w:rPr>
            <w:rStyle w:val="Hyperlink"/>
            <w:b/>
            <w:szCs w:val="24"/>
            <w:u w:val="single"/>
            <w:lang w:eastAsia="en-GB"/>
          </w:rPr>
          <w:t>resources hub</w:t>
        </w:r>
      </w:hyperlink>
      <w:r>
        <w:rPr>
          <w:szCs w:val="24"/>
          <w:lang w:eastAsia="en-GB"/>
        </w:rPr>
        <w:t>.</w:t>
      </w:r>
    </w:p>
    <w:p w:rsidR="00F7472A" w:rsidRDefault="00F7472A" w:rsidP="009244C9">
      <w:pPr>
        <w:shd w:val="clear" w:color="auto" w:fill="FFFFFF"/>
        <w:rPr>
          <w:b/>
          <w:szCs w:val="24"/>
          <w:lang w:eastAsia="en-GB"/>
        </w:rPr>
      </w:pPr>
    </w:p>
    <w:p w:rsidR="009244C9" w:rsidRDefault="009244C9" w:rsidP="009244C9">
      <w:pPr>
        <w:shd w:val="clear" w:color="auto" w:fill="FFFFFF"/>
        <w:rPr>
          <w:b/>
          <w:szCs w:val="24"/>
          <w:lang w:eastAsia="en-GB"/>
        </w:rPr>
      </w:pPr>
      <w:r>
        <w:rPr>
          <w:b/>
          <w:szCs w:val="24"/>
          <w:lang w:eastAsia="en-GB"/>
        </w:rPr>
        <w:t xml:space="preserve">NHS Health Check </w:t>
      </w:r>
    </w:p>
    <w:p w:rsidR="009244C9" w:rsidRPr="00037E04" w:rsidRDefault="009244C9" w:rsidP="009244C9">
      <w:pPr>
        <w:shd w:val="clear" w:color="auto" w:fill="FFFFFF"/>
        <w:rPr>
          <w:szCs w:val="24"/>
          <w:lang w:eastAsia="en-GB"/>
        </w:rPr>
      </w:pPr>
      <w:r>
        <w:rPr>
          <w:szCs w:val="24"/>
          <w:lang w:eastAsia="en-GB"/>
        </w:rPr>
        <w:t xml:space="preserve">This </w:t>
      </w:r>
      <w:hyperlink r:id="rId60" w:history="1">
        <w:r w:rsidRPr="009244C9">
          <w:rPr>
            <w:rStyle w:val="Hyperlink"/>
            <w:b/>
            <w:szCs w:val="24"/>
            <w:u w:val="single"/>
            <w:lang w:eastAsia="en-GB"/>
          </w:rPr>
          <w:t>initiative</w:t>
        </w:r>
      </w:hyperlink>
      <w:r w:rsidRPr="009244C9">
        <w:rPr>
          <w:b/>
          <w:szCs w:val="24"/>
          <w:lang w:eastAsia="en-GB"/>
        </w:rPr>
        <w:t xml:space="preserve"> </w:t>
      </w:r>
      <w:r>
        <w:rPr>
          <w:szCs w:val="24"/>
          <w:lang w:eastAsia="en-GB"/>
        </w:rPr>
        <w:t>aims to improve the health and wellbeing of adults who are 40</w:t>
      </w:r>
      <w:r w:rsidR="00E06CD0">
        <w:rPr>
          <w:szCs w:val="24"/>
          <w:lang w:eastAsia="en-GB"/>
        </w:rPr>
        <w:t>-</w:t>
      </w:r>
      <w:r>
        <w:rPr>
          <w:szCs w:val="24"/>
          <w:lang w:eastAsia="en-GB"/>
        </w:rPr>
        <w:t>74 years old through the promotion of earlier awareness, assessment and management of major risk factors and conditions, such as the development of certain health problems including, dementia, diabetes, heart disease, kidney disease and stroke.</w:t>
      </w:r>
    </w:p>
    <w:p w:rsidR="009244C9" w:rsidRDefault="009244C9" w:rsidP="00EA28D6">
      <w:pPr>
        <w:shd w:val="clear" w:color="auto" w:fill="FFFFFF"/>
        <w:rPr>
          <w:b/>
          <w:szCs w:val="24"/>
          <w:lang w:eastAsia="en-GB"/>
        </w:rPr>
      </w:pPr>
    </w:p>
    <w:p w:rsidR="00EA28D6" w:rsidRPr="00037E04" w:rsidRDefault="00EA28D6" w:rsidP="00EA28D6">
      <w:pPr>
        <w:shd w:val="clear" w:color="auto" w:fill="FFFFFF"/>
        <w:rPr>
          <w:b/>
          <w:szCs w:val="24"/>
          <w:lang w:eastAsia="en-GB"/>
        </w:rPr>
      </w:pPr>
      <w:r w:rsidRPr="00037E04">
        <w:rPr>
          <w:b/>
          <w:szCs w:val="24"/>
          <w:lang w:eastAsia="en-GB"/>
        </w:rPr>
        <w:t>PHE One You - Social Marketing Campaign</w:t>
      </w:r>
    </w:p>
    <w:p w:rsidR="00EA28D6" w:rsidRPr="00037E04" w:rsidRDefault="00EA28D6" w:rsidP="00EA28D6">
      <w:pPr>
        <w:shd w:val="clear" w:color="auto" w:fill="FFFFFF"/>
        <w:rPr>
          <w:szCs w:val="24"/>
          <w:lang w:eastAsia="en-GB"/>
        </w:rPr>
      </w:pPr>
      <w:r w:rsidRPr="00037E04">
        <w:rPr>
          <w:szCs w:val="24"/>
          <w:lang w:eastAsia="en-GB"/>
        </w:rPr>
        <w:t>Launched in March 2016, ‘One You’ aims to support adults in E</w:t>
      </w:r>
      <w:r w:rsidR="00A37863" w:rsidRPr="00037E04">
        <w:rPr>
          <w:szCs w:val="24"/>
          <w:lang w:eastAsia="en-GB"/>
        </w:rPr>
        <w:t xml:space="preserve">ngland to improve their health. </w:t>
      </w:r>
      <w:r w:rsidRPr="00037E04">
        <w:rPr>
          <w:szCs w:val="24"/>
          <w:lang w:eastAsia="en-GB"/>
        </w:rPr>
        <w:t xml:space="preserve">It encourages people to assess their lifestyle choices and do something about their own health. ‘One You’ has its own </w:t>
      </w:r>
      <w:hyperlink r:id="rId61" w:history="1">
        <w:r w:rsidRPr="00037E04">
          <w:rPr>
            <w:rStyle w:val="Hyperlink"/>
            <w:b/>
            <w:szCs w:val="24"/>
            <w:u w:val="single"/>
            <w:lang w:eastAsia="en-GB"/>
          </w:rPr>
          <w:t>website</w:t>
        </w:r>
      </w:hyperlink>
      <w:r w:rsidRPr="00037E04">
        <w:rPr>
          <w:szCs w:val="24"/>
          <w:lang w:eastAsia="en-GB"/>
        </w:rPr>
        <w:t xml:space="preserve"> with a range of resources</w:t>
      </w:r>
      <w:r w:rsidR="00A37863" w:rsidRPr="00037E04">
        <w:rPr>
          <w:szCs w:val="24"/>
          <w:lang w:eastAsia="en-GB"/>
        </w:rPr>
        <w:t xml:space="preserve"> and </w:t>
      </w:r>
      <w:r w:rsidRPr="00037E04">
        <w:rPr>
          <w:szCs w:val="24"/>
          <w:lang w:eastAsia="en-GB"/>
        </w:rPr>
        <w:t xml:space="preserve">free </w:t>
      </w:r>
      <w:hyperlink r:id="rId62" w:history="1">
        <w:r w:rsidRPr="00037E04">
          <w:rPr>
            <w:rStyle w:val="Hyperlink"/>
            <w:b/>
            <w:szCs w:val="24"/>
            <w:u w:val="single"/>
            <w:lang w:eastAsia="en-GB"/>
          </w:rPr>
          <w:t>apps</w:t>
        </w:r>
      </w:hyperlink>
      <w:r w:rsidRPr="00037E04">
        <w:rPr>
          <w:szCs w:val="24"/>
          <w:lang w:eastAsia="en-GB"/>
        </w:rPr>
        <w:t xml:space="preserve">. Promotional materials can be downloaded and ordered for free from the PHE </w:t>
      </w:r>
      <w:hyperlink r:id="rId63" w:history="1">
        <w:r w:rsidRPr="00037E04">
          <w:rPr>
            <w:rStyle w:val="Hyperlink"/>
            <w:b/>
            <w:szCs w:val="24"/>
            <w:u w:val="single"/>
            <w:lang w:eastAsia="en-GB"/>
          </w:rPr>
          <w:t>resource hub</w:t>
        </w:r>
      </w:hyperlink>
      <w:r w:rsidRPr="00037E04">
        <w:rPr>
          <w:b/>
          <w:szCs w:val="24"/>
          <w:lang w:eastAsia="en-GB"/>
        </w:rPr>
        <w:t xml:space="preserve">. </w:t>
      </w:r>
    </w:p>
    <w:p w:rsidR="00EA28D6" w:rsidRPr="00037E04" w:rsidRDefault="00EA28D6" w:rsidP="00EA28D6">
      <w:pPr>
        <w:shd w:val="clear" w:color="auto" w:fill="FFFFFF"/>
        <w:rPr>
          <w:szCs w:val="24"/>
          <w:lang w:eastAsia="en-GB"/>
        </w:rPr>
      </w:pPr>
    </w:p>
    <w:p w:rsidR="005C623E" w:rsidRPr="00037E04" w:rsidRDefault="00EA28D6" w:rsidP="00EA28D6">
      <w:pPr>
        <w:shd w:val="clear" w:color="auto" w:fill="FFFFFF"/>
        <w:rPr>
          <w:szCs w:val="24"/>
          <w:lang w:eastAsia="en-GB"/>
        </w:rPr>
      </w:pPr>
      <w:r w:rsidRPr="00037E04">
        <w:rPr>
          <w:szCs w:val="24"/>
          <w:lang w:eastAsia="en-GB"/>
        </w:rPr>
        <w:t xml:space="preserve">Under the banner of ‘One You’, PHE </w:t>
      </w:r>
      <w:r w:rsidR="005C623E" w:rsidRPr="00037E04">
        <w:rPr>
          <w:szCs w:val="24"/>
          <w:lang w:eastAsia="en-GB"/>
        </w:rPr>
        <w:t>has launched several campaigns covering different lifestyle choices and changes that can be made:</w:t>
      </w:r>
    </w:p>
    <w:p w:rsidR="005C623E" w:rsidRPr="00037E04" w:rsidRDefault="00671C96" w:rsidP="005C623E">
      <w:pPr>
        <w:pStyle w:val="ListParagraph"/>
        <w:numPr>
          <w:ilvl w:val="0"/>
          <w:numId w:val="14"/>
        </w:numPr>
        <w:shd w:val="clear" w:color="auto" w:fill="FFFFFF"/>
        <w:rPr>
          <w:rFonts w:ascii="Arial" w:hAnsi="Arial" w:cs="Arial"/>
          <w:sz w:val="24"/>
          <w:szCs w:val="24"/>
          <w:lang w:eastAsia="en-GB"/>
        </w:rPr>
      </w:pPr>
      <w:hyperlink r:id="rId64" w:history="1">
        <w:r w:rsidR="005C623E" w:rsidRPr="00037E04">
          <w:rPr>
            <w:rStyle w:val="Hyperlink"/>
            <w:rFonts w:ascii="Arial" w:hAnsi="Arial" w:cs="Arial"/>
            <w:sz w:val="24"/>
            <w:szCs w:val="24"/>
            <w:lang w:eastAsia="en-GB"/>
          </w:rPr>
          <w:t>Drink free days</w:t>
        </w:r>
      </w:hyperlink>
    </w:p>
    <w:p w:rsidR="005C623E" w:rsidRPr="00037E04" w:rsidRDefault="00671C96" w:rsidP="005C623E">
      <w:pPr>
        <w:pStyle w:val="ListParagraph"/>
        <w:numPr>
          <w:ilvl w:val="0"/>
          <w:numId w:val="14"/>
        </w:numPr>
        <w:shd w:val="clear" w:color="auto" w:fill="FFFFFF"/>
        <w:rPr>
          <w:rFonts w:ascii="Arial" w:hAnsi="Arial" w:cs="Arial"/>
          <w:sz w:val="24"/>
          <w:szCs w:val="24"/>
          <w:lang w:eastAsia="en-GB"/>
        </w:rPr>
      </w:pPr>
      <w:hyperlink r:id="rId65" w:history="1">
        <w:r w:rsidR="005C623E" w:rsidRPr="00037E04">
          <w:rPr>
            <w:rStyle w:val="Hyperlink"/>
            <w:rFonts w:ascii="Arial" w:hAnsi="Arial" w:cs="Arial"/>
            <w:sz w:val="24"/>
            <w:szCs w:val="24"/>
            <w:lang w:eastAsia="en-GB"/>
          </w:rPr>
          <w:t>Active 10</w:t>
        </w:r>
      </w:hyperlink>
    </w:p>
    <w:p w:rsidR="005C623E" w:rsidRPr="00037E04" w:rsidRDefault="00671C96" w:rsidP="005C623E">
      <w:pPr>
        <w:pStyle w:val="ListParagraph"/>
        <w:numPr>
          <w:ilvl w:val="0"/>
          <w:numId w:val="14"/>
        </w:numPr>
        <w:shd w:val="clear" w:color="auto" w:fill="FFFFFF"/>
        <w:rPr>
          <w:rFonts w:ascii="Arial" w:hAnsi="Arial" w:cs="Arial"/>
          <w:sz w:val="24"/>
          <w:szCs w:val="24"/>
          <w:lang w:eastAsia="en-GB"/>
        </w:rPr>
      </w:pPr>
      <w:hyperlink r:id="rId66" w:history="1">
        <w:r w:rsidR="005C623E" w:rsidRPr="00037E04">
          <w:rPr>
            <w:rStyle w:val="Hyperlink"/>
            <w:rFonts w:ascii="Arial" w:hAnsi="Arial" w:cs="Arial"/>
            <w:sz w:val="24"/>
            <w:szCs w:val="24"/>
            <w:lang w:eastAsia="en-GB"/>
          </w:rPr>
          <w:t>400-600-600</w:t>
        </w:r>
      </w:hyperlink>
    </w:p>
    <w:p w:rsidR="005C623E" w:rsidRPr="00515F9C" w:rsidRDefault="00671C96" w:rsidP="00515F9C">
      <w:pPr>
        <w:pStyle w:val="ListParagraph"/>
        <w:numPr>
          <w:ilvl w:val="0"/>
          <w:numId w:val="14"/>
        </w:numPr>
        <w:shd w:val="clear" w:color="auto" w:fill="FFFFFF"/>
        <w:rPr>
          <w:rFonts w:ascii="Arial" w:hAnsi="Arial" w:cs="Arial"/>
          <w:sz w:val="24"/>
          <w:szCs w:val="24"/>
          <w:lang w:eastAsia="en-GB"/>
        </w:rPr>
      </w:pPr>
      <w:hyperlink r:id="rId67" w:history="1">
        <w:r w:rsidR="005C623E" w:rsidRPr="00037E04">
          <w:rPr>
            <w:rStyle w:val="Hyperlink"/>
            <w:rFonts w:ascii="Arial" w:hAnsi="Arial" w:cs="Arial"/>
            <w:sz w:val="24"/>
            <w:szCs w:val="24"/>
            <w:lang w:eastAsia="en-GB"/>
          </w:rPr>
          <w:t>Stoptober</w:t>
        </w:r>
      </w:hyperlink>
    </w:p>
    <w:p w:rsidR="0057527F" w:rsidRPr="00F7472A" w:rsidRDefault="00671C96" w:rsidP="00D236C9">
      <w:pPr>
        <w:pStyle w:val="ListParagraph"/>
        <w:numPr>
          <w:ilvl w:val="0"/>
          <w:numId w:val="14"/>
        </w:numPr>
        <w:shd w:val="clear" w:color="auto" w:fill="FFFFFF"/>
        <w:rPr>
          <w:rFonts w:ascii="Arial" w:hAnsi="Arial" w:cs="Arial"/>
          <w:sz w:val="24"/>
          <w:szCs w:val="24"/>
          <w:lang w:eastAsia="en-GB"/>
        </w:rPr>
      </w:pPr>
      <w:hyperlink r:id="rId68" w:history="1">
        <w:r w:rsidR="005C623E" w:rsidRPr="00037E04">
          <w:rPr>
            <w:rStyle w:val="Hyperlink"/>
            <w:rFonts w:ascii="Arial" w:hAnsi="Arial" w:cs="Arial"/>
            <w:sz w:val="24"/>
            <w:szCs w:val="24"/>
            <w:lang w:eastAsia="en-GB"/>
          </w:rPr>
          <w:t>Know your heart age</w:t>
        </w:r>
      </w:hyperlink>
    </w:p>
    <w:sectPr w:rsidR="0057527F" w:rsidRPr="00F7472A" w:rsidSect="004C24E3">
      <w:footerReference w:type="default" r:id="rId69"/>
      <w:headerReference w:type="first" r:id="rId70"/>
      <w:footerReference w:type="first" r:id="rId71"/>
      <w:endnotePr>
        <w:numFmt w:val="decimal"/>
      </w:endnotePr>
      <w:pgSz w:w="11906" w:h="16838" w:code="9"/>
      <w:pgMar w:top="1560" w:right="1021" w:bottom="1531" w:left="1021" w:header="680"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040" w:rsidRDefault="00F60040">
      <w:r>
        <w:separator/>
      </w:r>
    </w:p>
    <w:p w:rsidR="00F60040" w:rsidRDefault="00F60040"/>
  </w:endnote>
  <w:endnote w:type="continuationSeparator" w:id="0">
    <w:p w:rsidR="00F60040" w:rsidRDefault="00F60040">
      <w:r>
        <w:continuationSeparator/>
      </w:r>
    </w:p>
    <w:p w:rsidR="00F60040" w:rsidRDefault="00F60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9B1081" w:rsidRDefault="00311989" w:rsidP="00F172B0">
    <w:pPr>
      <w:pStyle w:val="Footer"/>
      <w:rPr>
        <w:sz w:val="20"/>
      </w:rPr>
    </w:pPr>
    <w:r>
      <w:rPr>
        <w:sz w:val="20"/>
      </w:rPr>
      <w:t>Fennie Gibbs – H&amp;WB Public Health Support Officer -</w:t>
    </w:r>
    <w:r w:rsidR="00F172B0" w:rsidRPr="009B1081">
      <w:rPr>
        <w:sz w:val="20"/>
      </w:rPr>
      <w:t xml:space="preserve"> </w:t>
    </w:r>
    <w:r w:rsidR="009B1081" w:rsidRPr="009B1081">
      <w:rPr>
        <w:sz w:val="20"/>
      </w:rPr>
      <w:t xml:space="preserve">PHE </w:t>
    </w:r>
    <w:r w:rsidR="00F172B0" w:rsidRPr="009B1081">
      <w:rPr>
        <w:sz w:val="20"/>
      </w:rPr>
      <w:t>East o</w:t>
    </w:r>
    <w:r w:rsidR="000A20D7" w:rsidRPr="009B1081">
      <w:rPr>
        <w:sz w:val="20"/>
      </w:rPr>
      <w:t>f England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Default="00C37780" w:rsidP="007C5EC1">
    <w:pPr>
      <w:pStyle w:val="Footer"/>
      <w:rPr>
        <w:iCs/>
        <w:color w:val="404040" w:themeColor="text1" w:themeTint="BF"/>
        <w:sz w:val="16"/>
        <w:szCs w:val="16"/>
      </w:rPr>
    </w:pPr>
    <w:r>
      <w:rPr>
        <w:noProof/>
        <w:color w:val="800000"/>
        <w:lang w:eastAsia="en-GB"/>
      </w:rPr>
      <mc:AlternateContent>
        <mc:Choice Requires="wps">
          <w:drawing>
            <wp:anchor distT="0" distB="0" distL="114300" distR="114300" simplePos="0" relativeHeight="251658240" behindDoc="0" locked="0" layoutInCell="1" allowOverlap="1" wp14:anchorId="2603B746" wp14:editId="779AD27E">
              <wp:simplePos x="0" y="0"/>
              <wp:positionH relativeFrom="column">
                <wp:posOffset>-990600</wp:posOffset>
              </wp:positionH>
              <wp:positionV relativeFrom="paragraph">
                <wp:posOffset>-151130</wp:posOffset>
              </wp:positionV>
              <wp:extent cx="7919720" cy="0"/>
              <wp:effectExtent l="38100" t="39370" r="55880" b="495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8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7DA95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1.9pt" to="54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" strokecolor="maroon" strokeweight="3.5pt">
              <v:shadow color="black" opacity="24903f" origin=",.5" offset="0,.55556mm"/>
            </v:line>
          </w:pict>
        </mc:Fallback>
      </mc:AlternateContent>
    </w:r>
    <w:r w:rsidRPr="00577D81">
      <w:rPr>
        <w:noProof/>
        <w:color w:val="auto"/>
        <w:sz w:val="16"/>
        <w:szCs w:val="16"/>
        <w:lang w:eastAsia="en-GB"/>
      </w:rPr>
      <mc:AlternateContent>
        <mc:Choice Requires="wps">
          <w:drawing>
            <wp:anchor distT="0" distB="0" distL="114300" distR="114300" simplePos="0" relativeHeight="251662336" behindDoc="0" locked="0" layoutInCell="1" allowOverlap="1" wp14:anchorId="098A125B" wp14:editId="10EED3CD">
              <wp:simplePos x="0" y="0"/>
              <wp:positionH relativeFrom="column">
                <wp:posOffset>-990600</wp:posOffset>
              </wp:positionH>
              <wp:positionV relativeFrom="paragraph">
                <wp:posOffset>-299085</wp:posOffset>
              </wp:positionV>
              <wp:extent cx="7919720" cy="0"/>
              <wp:effectExtent l="38100" t="43815" r="55880" b="4508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9720" cy="0"/>
                      </a:xfrm>
                      <a:prstGeom prst="line">
                        <a:avLst/>
                      </a:prstGeom>
                      <a:noFill/>
                      <a:ln w="44450">
                        <a:solidFill>
                          <a:srgbClr val="CCCC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67E22F"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23.55pt" to="545.6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" strokecolor="#ccc" strokeweight="3.5pt">
              <v:shadow color="black" opacity="24903f" origin=",.5" offset="0,.55556mm"/>
            </v:line>
          </w:pict>
        </mc:Fallback>
      </mc:AlternateContent>
    </w:r>
    <w:r w:rsidRPr="00577D81">
      <w:rPr>
        <w:color w:val="auto"/>
        <w:sz w:val="16"/>
        <w:szCs w:val="16"/>
      </w:rPr>
      <w:t xml:space="preserve"> </w:t>
    </w:r>
    <w:r w:rsidRPr="00577D81">
      <w:rPr>
        <w:color w:val="auto"/>
        <w:sz w:val="16"/>
        <w:szCs w:val="16"/>
      </w:rPr>
      <w:fldChar w:fldCharType="begin"/>
    </w:r>
    <w:r w:rsidRPr="00577D81">
      <w:rPr>
        <w:color w:val="auto"/>
        <w:sz w:val="16"/>
        <w:szCs w:val="16"/>
      </w:rPr>
      <w:instrText xml:space="preserve"> STYLEREF Title \* MERGEFORMAT </w:instrText>
    </w:r>
    <w:r w:rsidRPr="00577D81">
      <w:rPr>
        <w:noProof/>
        <w:color w:val="auto"/>
        <w:sz w:val="16"/>
        <w:szCs w:val="16"/>
      </w:rPr>
      <w:fldChar w:fldCharType="end"/>
    </w:r>
    <w:r w:rsidRPr="00577D81">
      <w:rPr>
        <w:iCs/>
        <w:color w:val="404040" w:themeColor="text1" w:themeTint="BF"/>
        <w:sz w:val="16"/>
        <w:szCs w:val="16"/>
      </w:rPr>
      <w:t>Links to external websites, products or services do not constitute an official endorsement or approval by P</w:t>
    </w:r>
    <w:r>
      <w:rPr>
        <w:iCs/>
        <w:color w:val="404040" w:themeColor="text1" w:themeTint="BF"/>
        <w:sz w:val="16"/>
        <w:szCs w:val="16"/>
      </w:rPr>
      <w:t xml:space="preserve">ublic </w:t>
    </w:r>
    <w:r w:rsidRPr="00577D81">
      <w:rPr>
        <w:iCs/>
        <w:color w:val="404040" w:themeColor="text1" w:themeTint="BF"/>
        <w:sz w:val="16"/>
        <w:szCs w:val="16"/>
      </w:rPr>
      <w:t>H</w:t>
    </w:r>
    <w:r>
      <w:rPr>
        <w:iCs/>
        <w:color w:val="404040" w:themeColor="text1" w:themeTint="BF"/>
        <w:sz w:val="16"/>
        <w:szCs w:val="16"/>
      </w:rPr>
      <w:t xml:space="preserve">ealth </w:t>
    </w:r>
    <w:r w:rsidRPr="00577D81">
      <w:rPr>
        <w:iCs/>
        <w:color w:val="404040" w:themeColor="text1" w:themeTint="BF"/>
        <w:sz w:val="16"/>
        <w:szCs w:val="16"/>
      </w:rPr>
      <w:t>E</w:t>
    </w:r>
    <w:r>
      <w:rPr>
        <w:iCs/>
        <w:color w:val="404040" w:themeColor="text1" w:themeTint="BF"/>
        <w:sz w:val="16"/>
        <w:szCs w:val="16"/>
      </w:rPr>
      <w:t>ngland</w:t>
    </w:r>
    <w:r w:rsidRPr="00577D81">
      <w:rPr>
        <w:iCs/>
        <w:color w:val="404040" w:themeColor="text1" w:themeTint="BF"/>
        <w:sz w:val="16"/>
        <w:szCs w:val="16"/>
      </w:rPr>
      <w:t xml:space="preserve"> </w:t>
    </w:r>
    <w:r w:rsidR="004C24E3">
      <w:rPr>
        <w:iCs/>
        <w:color w:val="404040" w:themeColor="text1" w:themeTint="BF"/>
        <w:sz w:val="16"/>
        <w:szCs w:val="16"/>
      </w:rPr>
      <w:t>EoE</w:t>
    </w:r>
  </w:p>
  <w:p w:rsidR="004C24E3" w:rsidRPr="007C5EC1" w:rsidRDefault="004C24E3" w:rsidP="007C5EC1">
    <w:pPr>
      <w:pStyle w:val="Footer"/>
      <w:rPr>
        <w:color w:val="auto"/>
        <w:sz w:val="16"/>
        <w:szCs w:val="16"/>
      </w:rPr>
    </w:pPr>
  </w:p>
  <w:p w:rsidR="00C37780" w:rsidRPr="006E7015" w:rsidRDefault="00C37780" w:rsidP="00744105">
    <w:pPr>
      <w:pStyle w:val="Footer"/>
      <w:rPr>
        <w:color w:val="800000"/>
      </w:rPr>
    </w:pPr>
    <w:r w:rsidRPr="006E7015">
      <w:rPr>
        <w:color w:val="800000"/>
      </w:rPr>
      <w:fldChar w:fldCharType="begin"/>
    </w:r>
    <w:r w:rsidRPr="006E7015">
      <w:rPr>
        <w:color w:val="800000"/>
      </w:rPr>
      <w:instrText xml:space="preserve"> FILLIN "What is your PHE publications gateway number?"</w:instrText>
    </w:r>
    <w:r w:rsidRPr="006E7015">
      <w:rPr>
        <w:color w:val="8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040" w:rsidRDefault="00F60040"/>
  </w:footnote>
  <w:footnote w:type="continuationSeparator" w:id="0">
    <w:p w:rsidR="00F60040" w:rsidRDefault="00F60040"/>
  </w:footnote>
  <w:footnote w:type="continuationNotice" w:id="1">
    <w:p w:rsidR="00F60040" w:rsidRDefault="00F60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0" w:rsidRPr="00D51AF2" w:rsidRDefault="00C37780" w:rsidP="00D51AF2">
    <w:pPr>
      <w:pStyle w:val="Footer"/>
      <w:jc w:val="left"/>
      <w:rPr>
        <w:sz w:val="20"/>
      </w:rPr>
    </w:pPr>
    <w:r>
      <w:rPr>
        <w:noProof/>
        <w:sz w:val="20"/>
        <w:lang w:eastAsia="en-GB"/>
      </w:rPr>
      <w:drawing>
        <wp:anchor distT="0" distB="0" distL="114300" distR="114300" simplePos="0" relativeHeight="251660288" behindDoc="0" locked="0" layoutInCell="1" allowOverlap="1" wp14:anchorId="072E6130" wp14:editId="195326C9">
          <wp:simplePos x="0" y="0"/>
          <wp:positionH relativeFrom="column">
            <wp:posOffset>-656166</wp:posOffset>
          </wp:positionH>
          <wp:positionV relativeFrom="paragraph">
            <wp:posOffset>-436245</wp:posOffset>
          </wp:positionV>
          <wp:extent cx="4062730" cy="2011680"/>
          <wp:effectExtent l="0" t="0" r="0" b="7620"/>
          <wp:wrapNone/>
          <wp:docPr id="3"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 small logo for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27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4A8"/>
    <w:multiLevelType w:val="hybridMultilevel"/>
    <w:tmpl w:val="0A34C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86FD2"/>
    <w:multiLevelType w:val="hybridMultilevel"/>
    <w:tmpl w:val="4C5A9CD2"/>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647"/>
    <w:multiLevelType w:val="hybridMultilevel"/>
    <w:tmpl w:val="FE12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B6A3FB4"/>
    <w:multiLevelType w:val="multilevel"/>
    <w:tmpl w:val="AE94D92A"/>
    <w:lvl w:ilvl="0">
      <w:start w:val="1"/>
      <w:numFmt w:val="decimal"/>
      <w:pStyle w:val="PHENumberedbody"/>
      <w:lvlText w:val="%1"/>
      <w:lvlJc w:val="left"/>
      <w:pPr>
        <w:ind w:left="405" w:hanging="405"/>
      </w:pPr>
      <w:rPr>
        <w:rFonts w:hint="default"/>
      </w:rPr>
    </w:lvl>
    <w:lvl w:ilvl="1">
      <w:start w:val="1"/>
      <w:numFmt w:val="decimal"/>
      <w:pStyle w:val="PHENumberedbodytext"/>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DD35A6"/>
    <w:multiLevelType w:val="multilevel"/>
    <w:tmpl w:val="D8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15BB3"/>
    <w:multiLevelType w:val="hybridMultilevel"/>
    <w:tmpl w:val="60F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B021C6"/>
    <w:multiLevelType w:val="hybridMultilevel"/>
    <w:tmpl w:val="AF06EF5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D20FD0"/>
    <w:multiLevelType w:val="hybridMultilevel"/>
    <w:tmpl w:val="AAE0CDF8"/>
    <w:lvl w:ilvl="0" w:tplc="C5A865D4">
      <w:start w:val="1"/>
      <w:numFmt w:val="bullet"/>
      <w:lvlText w:val=""/>
      <w:lvlJc w:val="left"/>
      <w:pPr>
        <w:ind w:left="720" w:hanging="360"/>
      </w:pPr>
      <w:rPr>
        <w:rFonts w:ascii="Symbol" w:hAnsi="Symbol"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496A12"/>
    <w:multiLevelType w:val="hybridMultilevel"/>
    <w:tmpl w:val="E93E9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E972FC"/>
    <w:multiLevelType w:val="hybridMultilevel"/>
    <w:tmpl w:val="1486B764"/>
    <w:lvl w:ilvl="0" w:tplc="A9CC6530">
      <w:start w:val="1"/>
      <w:numFmt w:val="bullet"/>
      <w:lvlText w:val=""/>
      <w:lvlJc w:val="left"/>
      <w:pPr>
        <w:ind w:left="720" w:hanging="360"/>
      </w:pPr>
      <w:rPr>
        <w:rFonts w:ascii="Symbol" w:hAnsi="Symbol" w:hint="default"/>
        <w:color w:val="98002E"/>
        <w14:numSpacing w14:val="proportion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C8185B"/>
    <w:multiLevelType w:val="hybridMultilevel"/>
    <w:tmpl w:val="072684B6"/>
    <w:lvl w:ilvl="0" w:tplc="CCC406A8">
      <w:start w:val="1"/>
      <w:numFmt w:val="bullet"/>
      <w:lvlText w:val="•"/>
      <w:lvlJc w:val="left"/>
      <w:pPr>
        <w:tabs>
          <w:tab w:val="num" w:pos="720"/>
        </w:tabs>
        <w:ind w:left="720" w:hanging="360"/>
      </w:pPr>
      <w:rPr>
        <w:rFonts w:ascii="Arial" w:hAnsi="Arial" w:cs="Times New Roman" w:hint="default"/>
      </w:rPr>
    </w:lvl>
    <w:lvl w:ilvl="1" w:tplc="CEAC4DAE">
      <w:start w:val="1"/>
      <w:numFmt w:val="bullet"/>
      <w:lvlText w:val="•"/>
      <w:lvlJc w:val="left"/>
      <w:pPr>
        <w:tabs>
          <w:tab w:val="num" w:pos="1440"/>
        </w:tabs>
        <w:ind w:left="1440" w:hanging="360"/>
      </w:pPr>
      <w:rPr>
        <w:rFonts w:ascii="Arial" w:hAnsi="Arial" w:cs="Times New Roman" w:hint="default"/>
      </w:rPr>
    </w:lvl>
    <w:lvl w:ilvl="2" w:tplc="9CBA35A2">
      <w:start w:val="1"/>
      <w:numFmt w:val="bullet"/>
      <w:lvlText w:val="•"/>
      <w:lvlJc w:val="left"/>
      <w:pPr>
        <w:tabs>
          <w:tab w:val="num" w:pos="2160"/>
        </w:tabs>
        <w:ind w:left="2160" w:hanging="360"/>
      </w:pPr>
      <w:rPr>
        <w:rFonts w:ascii="Arial" w:hAnsi="Arial" w:cs="Times New Roman" w:hint="default"/>
      </w:rPr>
    </w:lvl>
    <w:lvl w:ilvl="3" w:tplc="DF5A2232">
      <w:start w:val="1"/>
      <w:numFmt w:val="bullet"/>
      <w:lvlText w:val="•"/>
      <w:lvlJc w:val="left"/>
      <w:pPr>
        <w:tabs>
          <w:tab w:val="num" w:pos="2880"/>
        </w:tabs>
        <w:ind w:left="2880" w:hanging="360"/>
      </w:pPr>
      <w:rPr>
        <w:rFonts w:ascii="Arial" w:hAnsi="Arial" w:cs="Times New Roman" w:hint="default"/>
      </w:rPr>
    </w:lvl>
    <w:lvl w:ilvl="4" w:tplc="419EA89C">
      <w:start w:val="1"/>
      <w:numFmt w:val="bullet"/>
      <w:lvlText w:val="•"/>
      <w:lvlJc w:val="left"/>
      <w:pPr>
        <w:tabs>
          <w:tab w:val="num" w:pos="3600"/>
        </w:tabs>
        <w:ind w:left="3600" w:hanging="360"/>
      </w:pPr>
      <w:rPr>
        <w:rFonts w:ascii="Arial" w:hAnsi="Arial" w:cs="Times New Roman" w:hint="default"/>
      </w:rPr>
    </w:lvl>
    <w:lvl w:ilvl="5" w:tplc="115651E8">
      <w:start w:val="1"/>
      <w:numFmt w:val="bullet"/>
      <w:lvlText w:val="•"/>
      <w:lvlJc w:val="left"/>
      <w:pPr>
        <w:tabs>
          <w:tab w:val="num" w:pos="4320"/>
        </w:tabs>
        <w:ind w:left="4320" w:hanging="360"/>
      </w:pPr>
      <w:rPr>
        <w:rFonts w:ascii="Arial" w:hAnsi="Arial" w:cs="Times New Roman" w:hint="default"/>
      </w:rPr>
    </w:lvl>
    <w:lvl w:ilvl="6" w:tplc="A928D5DC">
      <w:start w:val="1"/>
      <w:numFmt w:val="bullet"/>
      <w:lvlText w:val="•"/>
      <w:lvlJc w:val="left"/>
      <w:pPr>
        <w:tabs>
          <w:tab w:val="num" w:pos="5040"/>
        </w:tabs>
        <w:ind w:left="5040" w:hanging="360"/>
      </w:pPr>
      <w:rPr>
        <w:rFonts w:ascii="Arial" w:hAnsi="Arial" w:cs="Times New Roman" w:hint="default"/>
      </w:rPr>
    </w:lvl>
    <w:lvl w:ilvl="7" w:tplc="F6D86224">
      <w:start w:val="1"/>
      <w:numFmt w:val="bullet"/>
      <w:lvlText w:val="•"/>
      <w:lvlJc w:val="left"/>
      <w:pPr>
        <w:tabs>
          <w:tab w:val="num" w:pos="5760"/>
        </w:tabs>
        <w:ind w:left="5760" w:hanging="360"/>
      </w:pPr>
      <w:rPr>
        <w:rFonts w:ascii="Arial" w:hAnsi="Arial" w:cs="Times New Roman" w:hint="default"/>
      </w:rPr>
    </w:lvl>
    <w:lvl w:ilvl="8" w:tplc="9CDC1A98">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775A143E"/>
    <w:multiLevelType w:val="hybridMultilevel"/>
    <w:tmpl w:val="DF9AA2A0"/>
    <w:lvl w:ilvl="0" w:tplc="55480010">
      <w:start w:val="27"/>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A266B3"/>
    <w:multiLevelType w:val="hybridMultilevel"/>
    <w:tmpl w:val="30185F7E"/>
    <w:lvl w:ilvl="0" w:tplc="DAE4EDDC">
      <w:start w:val="1"/>
      <w:numFmt w:val="bullet"/>
      <w:pStyle w:val="PHEBulletpoints"/>
      <w:lvlText w:val=""/>
      <w:lvlJc w:val="left"/>
      <w:pPr>
        <w:ind w:left="-3534" w:hanging="360"/>
      </w:pPr>
      <w:rPr>
        <w:rFonts w:ascii="Symbol" w:hAnsi="Symbol" w:hint="default"/>
        <w:color w:val="98002E"/>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1374" w:hanging="360"/>
      </w:pPr>
      <w:rPr>
        <w:rFonts w:ascii="Symbol" w:hAnsi="Symbol" w:hint="default"/>
      </w:rPr>
    </w:lvl>
    <w:lvl w:ilvl="4" w:tplc="08090003" w:tentative="1">
      <w:start w:val="1"/>
      <w:numFmt w:val="bullet"/>
      <w:lvlText w:val="o"/>
      <w:lvlJc w:val="left"/>
      <w:pPr>
        <w:ind w:left="-654" w:hanging="360"/>
      </w:pPr>
      <w:rPr>
        <w:rFonts w:ascii="Courier New" w:hAnsi="Courier New" w:cs="Courier New" w:hint="default"/>
      </w:rPr>
    </w:lvl>
    <w:lvl w:ilvl="5" w:tplc="08090005" w:tentative="1">
      <w:start w:val="1"/>
      <w:numFmt w:val="bullet"/>
      <w:lvlText w:val=""/>
      <w:lvlJc w:val="left"/>
      <w:pPr>
        <w:ind w:left="66" w:hanging="360"/>
      </w:pPr>
      <w:rPr>
        <w:rFonts w:ascii="Wingdings" w:hAnsi="Wingdings" w:hint="default"/>
      </w:rPr>
    </w:lvl>
    <w:lvl w:ilvl="6" w:tplc="08090001" w:tentative="1">
      <w:start w:val="1"/>
      <w:numFmt w:val="bullet"/>
      <w:lvlText w:val=""/>
      <w:lvlJc w:val="left"/>
      <w:pPr>
        <w:ind w:left="786" w:hanging="360"/>
      </w:pPr>
      <w:rPr>
        <w:rFonts w:ascii="Symbol" w:hAnsi="Symbol" w:hint="default"/>
      </w:rPr>
    </w:lvl>
    <w:lvl w:ilvl="7" w:tplc="08090003" w:tentative="1">
      <w:start w:val="1"/>
      <w:numFmt w:val="bullet"/>
      <w:lvlText w:val="o"/>
      <w:lvlJc w:val="left"/>
      <w:pPr>
        <w:ind w:left="1506" w:hanging="360"/>
      </w:pPr>
      <w:rPr>
        <w:rFonts w:ascii="Courier New" w:hAnsi="Courier New" w:cs="Courier New" w:hint="default"/>
      </w:rPr>
    </w:lvl>
    <w:lvl w:ilvl="8" w:tplc="08090005" w:tentative="1">
      <w:start w:val="1"/>
      <w:numFmt w:val="bullet"/>
      <w:lvlText w:val=""/>
      <w:lvlJc w:val="left"/>
      <w:pPr>
        <w:ind w:left="2226" w:hanging="360"/>
      </w:pPr>
      <w:rPr>
        <w:rFonts w:ascii="Wingdings" w:hAnsi="Wingdings" w:hint="default"/>
      </w:rPr>
    </w:lvl>
  </w:abstractNum>
  <w:abstractNum w:abstractNumId="13" w15:restartNumberingAfterBreak="0">
    <w:nsid w:val="7B8443CF"/>
    <w:multiLevelType w:val="hybridMultilevel"/>
    <w:tmpl w:val="60F6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9"/>
  </w:num>
  <w:num w:numId="5">
    <w:abstractNumId w:val="2"/>
  </w:num>
  <w:num w:numId="6">
    <w:abstractNumId w:val="2"/>
  </w:num>
  <w:num w:numId="7">
    <w:abstractNumId w:val="8"/>
  </w:num>
  <w:num w:numId="8">
    <w:abstractNumId w:val="6"/>
  </w:num>
  <w:num w:numId="9">
    <w:abstractNumId w:val="0"/>
  </w:num>
  <w:num w:numId="10">
    <w:abstractNumId w:val="11"/>
  </w:num>
  <w:num w:numId="11">
    <w:abstractNumId w:val="7"/>
  </w:num>
  <w:num w:numId="12">
    <w:abstractNumId w:val="1"/>
  </w:num>
  <w:num w:numId="13">
    <w:abstractNumId w:val="13"/>
  </w:num>
  <w:num w:numId="14">
    <w:abstractNumId w:val="5"/>
  </w:num>
  <w:num w:numId="15">
    <w:abstractNumId w:val="10"/>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217">
      <o:colormru v:ext="edit" colors="#999,#ccc"/>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608"/>
    <w:rsid w:val="0000468E"/>
    <w:rsid w:val="00004CA5"/>
    <w:rsid w:val="000073D4"/>
    <w:rsid w:val="00012F0C"/>
    <w:rsid w:val="00013C14"/>
    <w:rsid w:val="00016722"/>
    <w:rsid w:val="00020F67"/>
    <w:rsid w:val="000215BA"/>
    <w:rsid w:val="000369C3"/>
    <w:rsid w:val="00037E04"/>
    <w:rsid w:val="00041A37"/>
    <w:rsid w:val="000458A0"/>
    <w:rsid w:val="00047B29"/>
    <w:rsid w:val="00051785"/>
    <w:rsid w:val="000540FE"/>
    <w:rsid w:val="00064056"/>
    <w:rsid w:val="00064EEA"/>
    <w:rsid w:val="00066B3E"/>
    <w:rsid w:val="00073BF0"/>
    <w:rsid w:val="00074251"/>
    <w:rsid w:val="000836BA"/>
    <w:rsid w:val="0008434F"/>
    <w:rsid w:val="00087CCA"/>
    <w:rsid w:val="000908A6"/>
    <w:rsid w:val="00093463"/>
    <w:rsid w:val="000A06DA"/>
    <w:rsid w:val="000A1934"/>
    <w:rsid w:val="000A20D7"/>
    <w:rsid w:val="000A25B2"/>
    <w:rsid w:val="000A3329"/>
    <w:rsid w:val="000A3725"/>
    <w:rsid w:val="000A50FB"/>
    <w:rsid w:val="000A5AD5"/>
    <w:rsid w:val="000A79F0"/>
    <w:rsid w:val="000B2133"/>
    <w:rsid w:val="000B57B2"/>
    <w:rsid w:val="000C51E6"/>
    <w:rsid w:val="000C59EF"/>
    <w:rsid w:val="000D0947"/>
    <w:rsid w:val="000D1BDA"/>
    <w:rsid w:val="000D5E1C"/>
    <w:rsid w:val="000D6206"/>
    <w:rsid w:val="000D659D"/>
    <w:rsid w:val="000E541C"/>
    <w:rsid w:val="000E6D64"/>
    <w:rsid w:val="00102823"/>
    <w:rsid w:val="00106C99"/>
    <w:rsid w:val="001104A8"/>
    <w:rsid w:val="00114FD0"/>
    <w:rsid w:val="00122045"/>
    <w:rsid w:val="00122E42"/>
    <w:rsid w:val="0012331E"/>
    <w:rsid w:val="0012383D"/>
    <w:rsid w:val="00123FC3"/>
    <w:rsid w:val="001260F0"/>
    <w:rsid w:val="00126FC9"/>
    <w:rsid w:val="00131E24"/>
    <w:rsid w:val="001321B4"/>
    <w:rsid w:val="00134182"/>
    <w:rsid w:val="00135863"/>
    <w:rsid w:val="00135E76"/>
    <w:rsid w:val="0014167D"/>
    <w:rsid w:val="00141DF8"/>
    <w:rsid w:val="001464EB"/>
    <w:rsid w:val="001479B5"/>
    <w:rsid w:val="00151816"/>
    <w:rsid w:val="00154F06"/>
    <w:rsid w:val="00156465"/>
    <w:rsid w:val="00160325"/>
    <w:rsid w:val="001610F8"/>
    <w:rsid w:val="001616C7"/>
    <w:rsid w:val="001644AD"/>
    <w:rsid w:val="0016670B"/>
    <w:rsid w:val="00171A55"/>
    <w:rsid w:val="00180B4D"/>
    <w:rsid w:val="0018336C"/>
    <w:rsid w:val="0018643B"/>
    <w:rsid w:val="0018646C"/>
    <w:rsid w:val="00187B3D"/>
    <w:rsid w:val="001933C4"/>
    <w:rsid w:val="00194D32"/>
    <w:rsid w:val="001A183A"/>
    <w:rsid w:val="001A1A76"/>
    <w:rsid w:val="001A322D"/>
    <w:rsid w:val="001A4193"/>
    <w:rsid w:val="001A5A0C"/>
    <w:rsid w:val="001B239A"/>
    <w:rsid w:val="001B2907"/>
    <w:rsid w:val="001B6BFF"/>
    <w:rsid w:val="001C0F85"/>
    <w:rsid w:val="001C110C"/>
    <w:rsid w:val="001C3D1D"/>
    <w:rsid w:val="001D1828"/>
    <w:rsid w:val="001D3F2E"/>
    <w:rsid w:val="001D6091"/>
    <w:rsid w:val="001D68E9"/>
    <w:rsid w:val="001E12C1"/>
    <w:rsid w:val="001E1AFA"/>
    <w:rsid w:val="001F35D8"/>
    <w:rsid w:val="001F3989"/>
    <w:rsid w:val="001F40B7"/>
    <w:rsid w:val="001F6334"/>
    <w:rsid w:val="001F6D46"/>
    <w:rsid w:val="00201CDB"/>
    <w:rsid w:val="00203E74"/>
    <w:rsid w:val="0020553C"/>
    <w:rsid w:val="00206A43"/>
    <w:rsid w:val="00211366"/>
    <w:rsid w:val="00213E39"/>
    <w:rsid w:val="002176B0"/>
    <w:rsid w:val="00217BAC"/>
    <w:rsid w:val="00217F7D"/>
    <w:rsid w:val="00221B80"/>
    <w:rsid w:val="00225A33"/>
    <w:rsid w:val="00227CE9"/>
    <w:rsid w:val="0023192F"/>
    <w:rsid w:val="002325FD"/>
    <w:rsid w:val="00234EF6"/>
    <w:rsid w:val="002358A6"/>
    <w:rsid w:val="00237F17"/>
    <w:rsid w:val="00243041"/>
    <w:rsid w:val="0024755A"/>
    <w:rsid w:val="002479E0"/>
    <w:rsid w:val="00247CDA"/>
    <w:rsid w:val="00257914"/>
    <w:rsid w:val="00262FD3"/>
    <w:rsid w:val="002660F5"/>
    <w:rsid w:val="002676E9"/>
    <w:rsid w:val="00271066"/>
    <w:rsid w:val="00271754"/>
    <w:rsid w:val="00274351"/>
    <w:rsid w:val="00274D45"/>
    <w:rsid w:val="002765BA"/>
    <w:rsid w:val="00276B01"/>
    <w:rsid w:val="00283237"/>
    <w:rsid w:val="00283E15"/>
    <w:rsid w:val="00284003"/>
    <w:rsid w:val="00286EEA"/>
    <w:rsid w:val="002924DE"/>
    <w:rsid w:val="00292BFE"/>
    <w:rsid w:val="002A1331"/>
    <w:rsid w:val="002A2775"/>
    <w:rsid w:val="002A3948"/>
    <w:rsid w:val="002A7444"/>
    <w:rsid w:val="002C52AF"/>
    <w:rsid w:val="002C5992"/>
    <w:rsid w:val="002C6B2A"/>
    <w:rsid w:val="002D2A44"/>
    <w:rsid w:val="002D5AFD"/>
    <w:rsid w:val="002E1A29"/>
    <w:rsid w:val="002E23E4"/>
    <w:rsid w:val="002E3411"/>
    <w:rsid w:val="002E73B0"/>
    <w:rsid w:val="002F0439"/>
    <w:rsid w:val="002F1870"/>
    <w:rsid w:val="002F1F11"/>
    <w:rsid w:val="002F2752"/>
    <w:rsid w:val="002F3A34"/>
    <w:rsid w:val="002F5F5B"/>
    <w:rsid w:val="002F67DA"/>
    <w:rsid w:val="00301A56"/>
    <w:rsid w:val="003062A9"/>
    <w:rsid w:val="003074E1"/>
    <w:rsid w:val="00311989"/>
    <w:rsid w:val="00311BF6"/>
    <w:rsid w:val="003128C5"/>
    <w:rsid w:val="00313D75"/>
    <w:rsid w:val="00320336"/>
    <w:rsid w:val="00323B57"/>
    <w:rsid w:val="0032491E"/>
    <w:rsid w:val="00325006"/>
    <w:rsid w:val="00327D7E"/>
    <w:rsid w:val="00331580"/>
    <w:rsid w:val="00331CB2"/>
    <w:rsid w:val="00333A6D"/>
    <w:rsid w:val="00334B87"/>
    <w:rsid w:val="003351E6"/>
    <w:rsid w:val="00336C7B"/>
    <w:rsid w:val="003373C2"/>
    <w:rsid w:val="003377A3"/>
    <w:rsid w:val="00342F99"/>
    <w:rsid w:val="00361074"/>
    <w:rsid w:val="00362364"/>
    <w:rsid w:val="003674CD"/>
    <w:rsid w:val="0037145E"/>
    <w:rsid w:val="00382712"/>
    <w:rsid w:val="0038690F"/>
    <w:rsid w:val="00390C85"/>
    <w:rsid w:val="00396093"/>
    <w:rsid w:val="003A413B"/>
    <w:rsid w:val="003A5DA6"/>
    <w:rsid w:val="003A6C43"/>
    <w:rsid w:val="003B09F4"/>
    <w:rsid w:val="003B1ABB"/>
    <w:rsid w:val="003B364D"/>
    <w:rsid w:val="003B72F2"/>
    <w:rsid w:val="003C31BF"/>
    <w:rsid w:val="003C4F66"/>
    <w:rsid w:val="003C6134"/>
    <w:rsid w:val="003D5908"/>
    <w:rsid w:val="003E49C3"/>
    <w:rsid w:val="003E721E"/>
    <w:rsid w:val="003E775C"/>
    <w:rsid w:val="003F1C59"/>
    <w:rsid w:val="003F1C8D"/>
    <w:rsid w:val="003F5203"/>
    <w:rsid w:val="003F56D1"/>
    <w:rsid w:val="003F6A0B"/>
    <w:rsid w:val="003F7D50"/>
    <w:rsid w:val="00403487"/>
    <w:rsid w:val="0041169E"/>
    <w:rsid w:val="004127D9"/>
    <w:rsid w:val="00414336"/>
    <w:rsid w:val="00420D0C"/>
    <w:rsid w:val="00421192"/>
    <w:rsid w:val="00423AE2"/>
    <w:rsid w:val="00425D84"/>
    <w:rsid w:val="004302A1"/>
    <w:rsid w:val="004342C7"/>
    <w:rsid w:val="004378A4"/>
    <w:rsid w:val="0044159B"/>
    <w:rsid w:val="00441F61"/>
    <w:rsid w:val="004439C5"/>
    <w:rsid w:val="00445B89"/>
    <w:rsid w:val="004462D7"/>
    <w:rsid w:val="00450C73"/>
    <w:rsid w:val="00451730"/>
    <w:rsid w:val="004524BF"/>
    <w:rsid w:val="00455810"/>
    <w:rsid w:val="0045595C"/>
    <w:rsid w:val="00456A63"/>
    <w:rsid w:val="004576E3"/>
    <w:rsid w:val="0046338F"/>
    <w:rsid w:val="0046555E"/>
    <w:rsid w:val="00467279"/>
    <w:rsid w:val="004702B1"/>
    <w:rsid w:val="00470700"/>
    <w:rsid w:val="00474489"/>
    <w:rsid w:val="00475941"/>
    <w:rsid w:val="00475F12"/>
    <w:rsid w:val="004764F3"/>
    <w:rsid w:val="00484FFE"/>
    <w:rsid w:val="004940DD"/>
    <w:rsid w:val="00496201"/>
    <w:rsid w:val="00497E97"/>
    <w:rsid w:val="004A36E8"/>
    <w:rsid w:val="004A3AC2"/>
    <w:rsid w:val="004A5B28"/>
    <w:rsid w:val="004C24E3"/>
    <w:rsid w:val="004C56F7"/>
    <w:rsid w:val="004D319C"/>
    <w:rsid w:val="004D3655"/>
    <w:rsid w:val="004D4E03"/>
    <w:rsid w:val="004D6262"/>
    <w:rsid w:val="004D77C9"/>
    <w:rsid w:val="004E51F6"/>
    <w:rsid w:val="004E5234"/>
    <w:rsid w:val="004F2E44"/>
    <w:rsid w:val="004F692D"/>
    <w:rsid w:val="004F6D96"/>
    <w:rsid w:val="005016E4"/>
    <w:rsid w:val="00502BE9"/>
    <w:rsid w:val="00506903"/>
    <w:rsid w:val="0050776C"/>
    <w:rsid w:val="005151E9"/>
    <w:rsid w:val="00515F9C"/>
    <w:rsid w:val="00526923"/>
    <w:rsid w:val="0052719E"/>
    <w:rsid w:val="00531317"/>
    <w:rsid w:val="00531433"/>
    <w:rsid w:val="00531BA0"/>
    <w:rsid w:val="00532E49"/>
    <w:rsid w:val="00533358"/>
    <w:rsid w:val="00533A76"/>
    <w:rsid w:val="00534342"/>
    <w:rsid w:val="005348B6"/>
    <w:rsid w:val="00541D44"/>
    <w:rsid w:val="00547B95"/>
    <w:rsid w:val="0055138A"/>
    <w:rsid w:val="00554EFB"/>
    <w:rsid w:val="00555E62"/>
    <w:rsid w:val="005568B0"/>
    <w:rsid w:val="005602F4"/>
    <w:rsid w:val="0057166E"/>
    <w:rsid w:val="005716E3"/>
    <w:rsid w:val="00573004"/>
    <w:rsid w:val="00574D59"/>
    <w:rsid w:val="0057527F"/>
    <w:rsid w:val="005771B1"/>
    <w:rsid w:val="005813D4"/>
    <w:rsid w:val="00583055"/>
    <w:rsid w:val="00583898"/>
    <w:rsid w:val="00584046"/>
    <w:rsid w:val="00584AB4"/>
    <w:rsid w:val="005862E7"/>
    <w:rsid w:val="00586A58"/>
    <w:rsid w:val="00586EDB"/>
    <w:rsid w:val="0058709F"/>
    <w:rsid w:val="005878D5"/>
    <w:rsid w:val="00591949"/>
    <w:rsid w:val="005938F8"/>
    <w:rsid w:val="00593C11"/>
    <w:rsid w:val="00594605"/>
    <w:rsid w:val="005A0E3E"/>
    <w:rsid w:val="005A10A3"/>
    <w:rsid w:val="005A5A53"/>
    <w:rsid w:val="005B3484"/>
    <w:rsid w:val="005B3B4A"/>
    <w:rsid w:val="005B67DA"/>
    <w:rsid w:val="005C623E"/>
    <w:rsid w:val="005D00BD"/>
    <w:rsid w:val="005D3AA4"/>
    <w:rsid w:val="005D44D4"/>
    <w:rsid w:val="005D7901"/>
    <w:rsid w:val="005E040A"/>
    <w:rsid w:val="005E212D"/>
    <w:rsid w:val="005E335B"/>
    <w:rsid w:val="005E34F7"/>
    <w:rsid w:val="005E3CAA"/>
    <w:rsid w:val="005E7F8A"/>
    <w:rsid w:val="005F0F94"/>
    <w:rsid w:val="005F328E"/>
    <w:rsid w:val="005F373F"/>
    <w:rsid w:val="005F399B"/>
    <w:rsid w:val="005F4B6C"/>
    <w:rsid w:val="005F5962"/>
    <w:rsid w:val="00603BA4"/>
    <w:rsid w:val="006165FB"/>
    <w:rsid w:val="0062214A"/>
    <w:rsid w:val="0062372C"/>
    <w:rsid w:val="006268FF"/>
    <w:rsid w:val="0062779C"/>
    <w:rsid w:val="00630B75"/>
    <w:rsid w:val="00632ADC"/>
    <w:rsid w:val="0063644B"/>
    <w:rsid w:val="00637333"/>
    <w:rsid w:val="00637596"/>
    <w:rsid w:val="00642882"/>
    <w:rsid w:val="006504AC"/>
    <w:rsid w:val="00651AB6"/>
    <w:rsid w:val="006522D1"/>
    <w:rsid w:val="00652369"/>
    <w:rsid w:val="00655BCD"/>
    <w:rsid w:val="00657F42"/>
    <w:rsid w:val="00662AD9"/>
    <w:rsid w:val="00662EA3"/>
    <w:rsid w:val="006713B5"/>
    <w:rsid w:val="00671C96"/>
    <w:rsid w:val="00672279"/>
    <w:rsid w:val="006762F6"/>
    <w:rsid w:val="006777C2"/>
    <w:rsid w:val="006779ED"/>
    <w:rsid w:val="00680437"/>
    <w:rsid w:val="00680956"/>
    <w:rsid w:val="00687B86"/>
    <w:rsid w:val="0069310C"/>
    <w:rsid w:val="0069535D"/>
    <w:rsid w:val="00696A39"/>
    <w:rsid w:val="00697608"/>
    <w:rsid w:val="006A1640"/>
    <w:rsid w:val="006A608E"/>
    <w:rsid w:val="006B0238"/>
    <w:rsid w:val="006B3666"/>
    <w:rsid w:val="006C4443"/>
    <w:rsid w:val="006C4899"/>
    <w:rsid w:val="006C6273"/>
    <w:rsid w:val="006D079F"/>
    <w:rsid w:val="006D0C25"/>
    <w:rsid w:val="006D51C6"/>
    <w:rsid w:val="006D5427"/>
    <w:rsid w:val="006D5EB7"/>
    <w:rsid w:val="006E63EA"/>
    <w:rsid w:val="006E7015"/>
    <w:rsid w:val="006E788D"/>
    <w:rsid w:val="006F07C7"/>
    <w:rsid w:val="006F0883"/>
    <w:rsid w:val="006F1C6A"/>
    <w:rsid w:val="006F3CB9"/>
    <w:rsid w:val="006F47FA"/>
    <w:rsid w:val="006F5254"/>
    <w:rsid w:val="00700584"/>
    <w:rsid w:val="00702A56"/>
    <w:rsid w:val="007105DE"/>
    <w:rsid w:val="007236B0"/>
    <w:rsid w:val="00726C73"/>
    <w:rsid w:val="00737E84"/>
    <w:rsid w:val="007400B6"/>
    <w:rsid w:val="00743E91"/>
    <w:rsid w:val="00744105"/>
    <w:rsid w:val="0075415A"/>
    <w:rsid w:val="00755688"/>
    <w:rsid w:val="0076342D"/>
    <w:rsid w:val="00764EE8"/>
    <w:rsid w:val="00782CB5"/>
    <w:rsid w:val="00783630"/>
    <w:rsid w:val="00790D8F"/>
    <w:rsid w:val="0079568E"/>
    <w:rsid w:val="007A023A"/>
    <w:rsid w:val="007A553F"/>
    <w:rsid w:val="007B1022"/>
    <w:rsid w:val="007B1CD6"/>
    <w:rsid w:val="007B53CF"/>
    <w:rsid w:val="007B65C9"/>
    <w:rsid w:val="007B7D76"/>
    <w:rsid w:val="007C2357"/>
    <w:rsid w:val="007C3149"/>
    <w:rsid w:val="007C4729"/>
    <w:rsid w:val="007C5EC1"/>
    <w:rsid w:val="007D0FEE"/>
    <w:rsid w:val="007D6437"/>
    <w:rsid w:val="007D7FC2"/>
    <w:rsid w:val="007E3FBF"/>
    <w:rsid w:val="007E4EDD"/>
    <w:rsid w:val="007E59F2"/>
    <w:rsid w:val="007F086D"/>
    <w:rsid w:val="007F186B"/>
    <w:rsid w:val="007F26D2"/>
    <w:rsid w:val="00800168"/>
    <w:rsid w:val="00813F58"/>
    <w:rsid w:val="00816AE5"/>
    <w:rsid w:val="008216A5"/>
    <w:rsid w:val="0082258F"/>
    <w:rsid w:val="008230D8"/>
    <w:rsid w:val="00823B97"/>
    <w:rsid w:val="00823EBB"/>
    <w:rsid w:val="008244E7"/>
    <w:rsid w:val="00830552"/>
    <w:rsid w:val="00830C45"/>
    <w:rsid w:val="00831036"/>
    <w:rsid w:val="00833943"/>
    <w:rsid w:val="008369BA"/>
    <w:rsid w:val="00840328"/>
    <w:rsid w:val="00845E5C"/>
    <w:rsid w:val="00846C43"/>
    <w:rsid w:val="008504E6"/>
    <w:rsid w:val="00850B30"/>
    <w:rsid w:val="008547C5"/>
    <w:rsid w:val="00854903"/>
    <w:rsid w:val="00854DEA"/>
    <w:rsid w:val="008600C2"/>
    <w:rsid w:val="00874014"/>
    <w:rsid w:val="0087477C"/>
    <w:rsid w:val="0088044E"/>
    <w:rsid w:val="00880FCA"/>
    <w:rsid w:val="00886739"/>
    <w:rsid w:val="00886B44"/>
    <w:rsid w:val="00892759"/>
    <w:rsid w:val="008973B6"/>
    <w:rsid w:val="008A384B"/>
    <w:rsid w:val="008A4580"/>
    <w:rsid w:val="008A54CB"/>
    <w:rsid w:val="008A6947"/>
    <w:rsid w:val="008A6A18"/>
    <w:rsid w:val="008B0283"/>
    <w:rsid w:val="008B4AFF"/>
    <w:rsid w:val="008B6CCC"/>
    <w:rsid w:val="008B794E"/>
    <w:rsid w:val="008C0AA2"/>
    <w:rsid w:val="008D115E"/>
    <w:rsid w:val="008D196F"/>
    <w:rsid w:val="008D6BB6"/>
    <w:rsid w:val="008D704D"/>
    <w:rsid w:val="008E18E8"/>
    <w:rsid w:val="008E6FBF"/>
    <w:rsid w:val="008E7B5F"/>
    <w:rsid w:val="008F1C2E"/>
    <w:rsid w:val="008F3568"/>
    <w:rsid w:val="008F770C"/>
    <w:rsid w:val="008F7E6A"/>
    <w:rsid w:val="009009B5"/>
    <w:rsid w:val="00902F74"/>
    <w:rsid w:val="00903159"/>
    <w:rsid w:val="0090459A"/>
    <w:rsid w:val="009066B9"/>
    <w:rsid w:val="00910459"/>
    <w:rsid w:val="00910B7F"/>
    <w:rsid w:val="00914B31"/>
    <w:rsid w:val="00915910"/>
    <w:rsid w:val="00916544"/>
    <w:rsid w:val="00916DC0"/>
    <w:rsid w:val="00917352"/>
    <w:rsid w:val="009244C9"/>
    <w:rsid w:val="0093050E"/>
    <w:rsid w:val="00931C31"/>
    <w:rsid w:val="00932FFB"/>
    <w:rsid w:val="009358A9"/>
    <w:rsid w:val="0093642B"/>
    <w:rsid w:val="00937E6A"/>
    <w:rsid w:val="009422CF"/>
    <w:rsid w:val="00943711"/>
    <w:rsid w:val="00944E37"/>
    <w:rsid w:val="009463AD"/>
    <w:rsid w:val="0094677D"/>
    <w:rsid w:val="00946E72"/>
    <w:rsid w:val="0095059C"/>
    <w:rsid w:val="009518C3"/>
    <w:rsid w:val="00955A86"/>
    <w:rsid w:val="00957A9C"/>
    <w:rsid w:val="00962A61"/>
    <w:rsid w:val="00964759"/>
    <w:rsid w:val="00965FF2"/>
    <w:rsid w:val="00967C44"/>
    <w:rsid w:val="00970A6C"/>
    <w:rsid w:val="00975446"/>
    <w:rsid w:val="00975547"/>
    <w:rsid w:val="00977AD3"/>
    <w:rsid w:val="00980489"/>
    <w:rsid w:val="00993BC9"/>
    <w:rsid w:val="0099769C"/>
    <w:rsid w:val="009A20B6"/>
    <w:rsid w:val="009A7FF0"/>
    <w:rsid w:val="009B1081"/>
    <w:rsid w:val="009B11EE"/>
    <w:rsid w:val="009B3EFB"/>
    <w:rsid w:val="009B5E80"/>
    <w:rsid w:val="009B63B2"/>
    <w:rsid w:val="009C3024"/>
    <w:rsid w:val="009C5ACC"/>
    <w:rsid w:val="009D56B4"/>
    <w:rsid w:val="009D5DE2"/>
    <w:rsid w:val="009D6355"/>
    <w:rsid w:val="009D6CD8"/>
    <w:rsid w:val="009E057E"/>
    <w:rsid w:val="009E112E"/>
    <w:rsid w:val="009E13E3"/>
    <w:rsid w:val="009E1EE0"/>
    <w:rsid w:val="009E3727"/>
    <w:rsid w:val="009E7AF1"/>
    <w:rsid w:val="009E7DD8"/>
    <w:rsid w:val="009F2096"/>
    <w:rsid w:val="009F348C"/>
    <w:rsid w:val="009F74F1"/>
    <w:rsid w:val="009F79F7"/>
    <w:rsid w:val="009F7E13"/>
    <w:rsid w:val="00A0082B"/>
    <w:rsid w:val="00A0176F"/>
    <w:rsid w:val="00A033A0"/>
    <w:rsid w:val="00A03EB0"/>
    <w:rsid w:val="00A04EAB"/>
    <w:rsid w:val="00A065BA"/>
    <w:rsid w:val="00A10F83"/>
    <w:rsid w:val="00A139F8"/>
    <w:rsid w:val="00A14EBB"/>
    <w:rsid w:val="00A1552D"/>
    <w:rsid w:val="00A1706F"/>
    <w:rsid w:val="00A23776"/>
    <w:rsid w:val="00A23CEB"/>
    <w:rsid w:val="00A25008"/>
    <w:rsid w:val="00A25D12"/>
    <w:rsid w:val="00A31049"/>
    <w:rsid w:val="00A339F3"/>
    <w:rsid w:val="00A33D2E"/>
    <w:rsid w:val="00A35385"/>
    <w:rsid w:val="00A37626"/>
    <w:rsid w:val="00A37863"/>
    <w:rsid w:val="00A43A35"/>
    <w:rsid w:val="00A475D3"/>
    <w:rsid w:val="00A504D6"/>
    <w:rsid w:val="00A51235"/>
    <w:rsid w:val="00A51A13"/>
    <w:rsid w:val="00A531EA"/>
    <w:rsid w:val="00A57429"/>
    <w:rsid w:val="00A61A4A"/>
    <w:rsid w:val="00A636ED"/>
    <w:rsid w:val="00A667BA"/>
    <w:rsid w:val="00A72AD9"/>
    <w:rsid w:val="00A73A57"/>
    <w:rsid w:val="00A7410A"/>
    <w:rsid w:val="00A74B0B"/>
    <w:rsid w:val="00A7696B"/>
    <w:rsid w:val="00A822CB"/>
    <w:rsid w:val="00A857D7"/>
    <w:rsid w:val="00A92A7D"/>
    <w:rsid w:val="00AA30D3"/>
    <w:rsid w:val="00AA3342"/>
    <w:rsid w:val="00AA4D1D"/>
    <w:rsid w:val="00AA53EE"/>
    <w:rsid w:val="00AC1866"/>
    <w:rsid w:val="00AC67F8"/>
    <w:rsid w:val="00AD18DC"/>
    <w:rsid w:val="00AD4F59"/>
    <w:rsid w:val="00AE00B8"/>
    <w:rsid w:val="00AE1434"/>
    <w:rsid w:val="00AE4FA0"/>
    <w:rsid w:val="00AE7928"/>
    <w:rsid w:val="00AE7D33"/>
    <w:rsid w:val="00AF241F"/>
    <w:rsid w:val="00AF2AE8"/>
    <w:rsid w:val="00AF2F9C"/>
    <w:rsid w:val="00B03696"/>
    <w:rsid w:val="00B03C6D"/>
    <w:rsid w:val="00B11CA4"/>
    <w:rsid w:val="00B152B2"/>
    <w:rsid w:val="00B20092"/>
    <w:rsid w:val="00B22A8D"/>
    <w:rsid w:val="00B23841"/>
    <w:rsid w:val="00B24C9D"/>
    <w:rsid w:val="00B31EE8"/>
    <w:rsid w:val="00B36D91"/>
    <w:rsid w:val="00B3750D"/>
    <w:rsid w:val="00B46355"/>
    <w:rsid w:val="00B53694"/>
    <w:rsid w:val="00B55037"/>
    <w:rsid w:val="00B55C32"/>
    <w:rsid w:val="00B57F15"/>
    <w:rsid w:val="00B6137C"/>
    <w:rsid w:val="00B62544"/>
    <w:rsid w:val="00B652AA"/>
    <w:rsid w:val="00B661A8"/>
    <w:rsid w:val="00B7169D"/>
    <w:rsid w:val="00B7184D"/>
    <w:rsid w:val="00B73D30"/>
    <w:rsid w:val="00B75CAA"/>
    <w:rsid w:val="00B86BE7"/>
    <w:rsid w:val="00B90046"/>
    <w:rsid w:val="00B9716C"/>
    <w:rsid w:val="00BA15B2"/>
    <w:rsid w:val="00BA441E"/>
    <w:rsid w:val="00BB13C0"/>
    <w:rsid w:val="00BB1567"/>
    <w:rsid w:val="00BB42F6"/>
    <w:rsid w:val="00BB742E"/>
    <w:rsid w:val="00BB7549"/>
    <w:rsid w:val="00BD07AF"/>
    <w:rsid w:val="00BD1B37"/>
    <w:rsid w:val="00BD1FD4"/>
    <w:rsid w:val="00BD787F"/>
    <w:rsid w:val="00BE1CAA"/>
    <w:rsid w:val="00BF3596"/>
    <w:rsid w:val="00BF67DA"/>
    <w:rsid w:val="00BF7D68"/>
    <w:rsid w:val="00C02EB0"/>
    <w:rsid w:val="00C039AE"/>
    <w:rsid w:val="00C044A2"/>
    <w:rsid w:val="00C11D6F"/>
    <w:rsid w:val="00C12D2E"/>
    <w:rsid w:val="00C21D52"/>
    <w:rsid w:val="00C23746"/>
    <w:rsid w:val="00C23F9D"/>
    <w:rsid w:val="00C3037F"/>
    <w:rsid w:val="00C31867"/>
    <w:rsid w:val="00C34B1F"/>
    <w:rsid w:val="00C35737"/>
    <w:rsid w:val="00C36CDB"/>
    <w:rsid w:val="00C37780"/>
    <w:rsid w:val="00C37DBB"/>
    <w:rsid w:val="00C447BC"/>
    <w:rsid w:val="00C46DA9"/>
    <w:rsid w:val="00C4717B"/>
    <w:rsid w:val="00C474E2"/>
    <w:rsid w:val="00C47650"/>
    <w:rsid w:val="00C477FA"/>
    <w:rsid w:val="00C629C5"/>
    <w:rsid w:val="00C65A67"/>
    <w:rsid w:val="00C751DF"/>
    <w:rsid w:val="00C75D76"/>
    <w:rsid w:val="00C762A1"/>
    <w:rsid w:val="00C7756F"/>
    <w:rsid w:val="00C859AB"/>
    <w:rsid w:val="00C907B8"/>
    <w:rsid w:val="00C9101D"/>
    <w:rsid w:val="00C939EC"/>
    <w:rsid w:val="00C9597D"/>
    <w:rsid w:val="00C97CE1"/>
    <w:rsid w:val="00CA009B"/>
    <w:rsid w:val="00CA2ABB"/>
    <w:rsid w:val="00CA3065"/>
    <w:rsid w:val="00CA448B"/>
    <w:rsid w:val="00CA6510"/>
    <w:rsid w:val="00CB163F"/>
    <w:rsid w:val="00CC19D9"/>
    <w:rsid w:val="00CC5216"/>
    <w:rsid w:val="00CC6E0B"/>
    <w:rsid w:val="00CC74F5"/>
    <w:rsid w:val="00CC799B"/>
    <w:rsid w:val="00CD2210"/>
    <w:rsid w:val="00CD268B"/>
    <w:rsid w:val="00CE163E"/>
    <w:rsid w:val="00CE188E"/>
    <w:rsid w:val="00CF0C94"/>
    <w:rsid w:val="00CF1563"/>
    <w:rsid w:val="00CF5847"/>
    <w:rsid w:val="00CF66DC"/>
    <w:rsid w:val="00CF7DA3"/>
    <w:rsid w:val="00D01594"/>
    <w:rsid w:val="00D04101"/>
    <w:rsid w:val="00D04CDE"/>
    <w:rsid w:val="00D13534"/>
    <w:rsid w:val="00D20433"/>
    <w:rsid w:val="00D207B9"/>
    <w:rsid w:val="00D209BF"/>
    <w:rsid w:val="00D23464"/>
    <w:rsid w:val="00D236C9"/>
    <w:rsid w:val="00D25433"/>
    <w:rsid w:val="00D31705"/>
    <w:rsid w:val="00D35E59"/>
    <w:rsid w:val="00D360B7"/>
    <w:rsid w:val="00D436DD"/>
    <w:rsid w:val="00D51AF2"/>
    <w:rsid w:val="00D5230B"/>
    <w:rsid w:val="00D538AD"/>
    <w:rsid w:val="00D53F2F"/>
    <w:rsid w:val="00D54F75"/>
    <w:rsid w:val="00D57237"/>
    <w:rsid w:val="00D57A50"/>
    <w:rsid w:val="00D57D54"/>
    <w:rsid w:val="00D67F56"/>
    <w:rsid w:val="00D702F2"/>
    <w:rsid w:val="00D71421"/>
    <w:rsid w:val="00D77485"/>
    <w:rsid w:val="00D80C06"/>
    <w:rsid w:val="00D81E61"/>
    <w:rsid w:val="00D879CB"/>
    <w:rsid w:val="00D9051A"/>
    <w:rsid w:val="00D906CA"/>
    <w:rsid w:val="00D92952"/>
    <w:rsid w:val="00D97287"/>
    <w:rsid w:val="00DA3192"/>
    <w:rsid w:val="00DA3501"/>
    <w:rsid w:val="00DA5851"/>
    <w:rsid w:val="00DA6C6D"/>
    <w:rsid w:val="00DB3489"/>
    <w:rsid w:val="00DB4344"/>
    <w:rsid w:val="00DB5D10"/>
    <w:rsid w:val="00DC1E1B"/>
    <w:rsid w:val="00DC57A3"/>
    <w:rsid w:val="00DC6A67"/>
    <w:rsid w:val="00DD22EB"/>
    <w:rsid w:val="00DD3920"/>
    <w:rsid w:val="00DD3C6F"/>
    <w:rsid w:val="00DE037F"/>
    <w:rsid w:val="00DE07C9"/>
    <w:rsid w:val="00DE09C0"/>
    <w:rsid w:val="00DE1911"/>
    <w:rsid w:val="00DE1EB1"/>
    <w:rsid w:val="00DE293E"/>
    <w:rsid w:val="00DF1AEA"/>
    <w:rsid w:val="00DF6D77"/>
    <w:rsid w:val="00DF7E58"/>
    <w:rsid w:val="00E00A50"/>
    <w:rsid w:val="00E024CA"/>
    <w:rsid w:val="00E05AC9"/>
    <w:rsid w:val="00E06CD0"/>
    <w:rsid w:val="00E178E5"/>
    <w:rsid w:val="00E216EA"/>
    <w:rsid w:val="00E41FEF"/>
    <w:rsid w:val="00E420AD"/>
    <w:rsid w:val="00E44C14"/>
    <w:rsid w:val="00E46DF9"/>
    <w:rsid w:val="00E50DC3"/>
    <w:rsid w:val="00E51183"/>
    <w:rsid w:val="00E5182F"/>
    <w:rsid w:val="00E53EA6"/>
    <w:rsid w:val="00E545BB"/>
    <w:rsid w:val="00E54606"/>
    <w:rsid w:val="00E558CC"/>
    <w:rsid w:val="00E601CC"/>
    <w:rsid w:val="00E62CE6"/>
    <w:rsid w:val="00E633A8"/>
    <w:rsid w:val="00E67A40"/>
    <w:rsid w:val="00E70D6E"/>
    <w:rsid w:val="00E722F5"/>
    <w:rsid w:val="00E749DE"/>
    <w:rsid w:val="00E771D7"/>
    <w:rsid w:val="00E8540A"/>
    <w:rsid w:val="00E92675"/>
    <w:rsid w:val="00E959A0"/>
    <w:rsid w:val="00E959E6"/>
    <w:rsid w:val="00EA1428"/>
    <w:rsid w:val="00EA1ECF"/>
    <w:rsid w:val="00EA28D6"/>
    <w:rsid w:val="00EB1D6B"/>
    <w:rsid w:val="00EB205A"/>
    <w:rsid w:val="00EC287D"/>
    <w:rsid w:val="00EC2BCC"/>
    <w:rsid w:val="00EC30D1"/>
    <w:rsid w:val="00EC3E00"/>
    <w:rsid w:val="00EC4878"/>
    <w:rsid w:val="00EC52F0"/>
    <w:rsid w:val="00EC6754"/>
    <w:rsid w:val="00ED1C1A"/>
    <w:rsid w:val="00ED5589"/>
    <w:rsid w:val="00ED56FA"/>
    <w:rsid w:val="00ED5C65"/>
    <w:rsid w:val="00EE159D"/>
    <w:rsid w:val="00EE3EC9"/>
    <w:rsid w:val="00EE443A"/>
    <w:rsid w:val="00EF1287"/>
    <w:rsid w:val="00EF4B09"/>
    <w:rsid w:val="00F009BD"/>
    <w:rsid w:val="00F013E7"/>
    <w:rsid w:val="00F03832"/>
    <w:rsid w:val="00F07494"/>
    <w:rsid w:val="00F13D88"/>
    <w:rsid w:val="00F13FC8"/>
    <w:rsid w:val="00F170AB"/>
    <w:rsid w:val="00F172B0"/>
    <w:rsid w:val="00F2417D"/>
    <w:rsid w:val="00F25608"/>
    <w:rsid w:val="00F301AD"/>
    <w:rsid w:val="00F33B3C"/>
    <w:rsid w:val="00F36B9C"/>
    <w:rsid w:val="00F3766D"/>
    <w:rsid w:val="00F40753"/>
    <w:rsid w:val="00F43161"/>
    <w:rsid w:val="00F43B40"/>
    <w:rsid w:val="00F505EE"/>
    <w:rsid w:val="00F51E6C"/>
    <w:rsid w:val="00F53379"/>
    <w:rsid w:val="00F53CDC"/>
    <w:rsid w:val="00F56588"/>
    <w:rsid w:val="00F60040"/>
    <w:rsid w:val="00F60CE6"/>
    <w:rsid w:val="00F6109C"/>
    <w:rsid w:val="00F66260"/>
    <w:rsid w:val="00F67D96"/>
    <w:rsid w:val="00F7472A"/>
    <w:rsid w:val="00F75938"/>
    <w:rsid w:val="00F76B06"/>
    <w:rsid w:val="00F80EA7"/>
    <w:rsid w:val="00F8479B"/>
    <w:rsid w:val="00F87182"/>
    <w:rsid w:val="00F923C6"/>
    <w:rsid w:val="00F9595B"/>
    <w:rsid w:val="00FA55AB"/>
    <w:rsid w:val="00FB00C0"/>
    <w:rsid w:val="00FB2CBA"/>
    <w:rsid w:val="00FB4161"/>
    <w:rsid w:val="00FB4F05"/>
    <w:rsid w:val="00FB50C5"/>
    <w:rsid w:val="00FB572E"/>
    <w:rsid w:val="00FC2978"/>
    <w:rsid w:val="00FC2B5F"/>
    <w:rsid w:val="00FC3478"/>
    <w:rsid w:val="00FC637B"/>
    <w:rsid w:val="00FD0076"/>
    <w:rsid w:val="00FD0C37"/>
    <w:rsid w:val="00FD3FB5"/>
    <w:rsid w:val="00FD56D2"/>
    <w:rsid w:val="00FE0591"/>
    <w:rsid w:val="00FE5ABE"/>
    <w:rsid w:val="00FE5ADA"/>
    <w:rsid w:val="00FF0349"/>
    <w:rsid w:val="00FF2672"/>
    <w:rsid w:val="00FF2A94"/>
    <w:rsid w:val="00FF2CCC"/>
    <w:rsid w:val="00FF5D57"/>
    <w:rsid w:val="00FF6CC7"/>
    <w:rsid w:val="00FF7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colormru v:ext="edit" colors="#999,#ccc"/>
    </o:shapedefaults>
    <o:shapelayout v:ext="edit">
      <o:idmap v:ext="edit" data="1"/>
    </o:shapelayout>
  </w:shapeDefaults>
  <w:decimalSymbol w:val="."/>
  <w:listSeparator w:val=","/>
  <w14:docId w14:val="2B992ABE"/>
  <w15:docId w15:val="{2CD6CB23-E8AB-4C09-B8DF-764B6E3C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E80"/>
    <w:rPr>
      <w:rFonts w:ascii="Arial" w:hAnsi="Arial" w:cs="Arial"/>
      <w:sz w:val="24"/>
    </w:rPr>
  </w:style>
  <w:style w:type="paragraph" w:styleId="Heading1">
    <w:name w:val="heading 1"/>
    <w:aliases w:val="Section Head"/>
    <w:basedOn w:val="Normal"/>
    <w:next w:val="Normal"/>
    <w:link w:val="Heading1Char"/>
    <w:qFormat/>
    <w:rsid w:val="00E959E6"/>
    <w:pPr>
      <w:spacing w:after="240" w:line="400" w:lineRule="exact"/>
      <w:ind w:right="794"/>
      <w:outlineLvl w:val="0"/>
    </w:pPr>
    <w:rPr>
      <w:rFonts w:cs="Times New Roman"/>
      <w:color w:val="98002E"/>
      <w:sz w:val="32"/>
      <w:szCs w:val="48"/>
    </w:rPr>
  </w:style>
  <w:style w:type="paragraph" w:styleId="Heading2">
    <w:name w:val="heading 2"/>
    <w:aliases w:val="A head"/>
    <w:basedOn w:val="Normal"/>
    <w:next w:val="PHEBodycopy"/>
    <w:link w:val="Heading2Char"/>
    <w:uiPriority w:val="9"/>
    <w:unhideWhenUsed/>
    <w:qFormat/>
    <w:rsid w:val="00020F67"/>
    <w:pPr>
      <w:keepNext/>
      <w:spacing w:before="120" w:after="120" w:line="360" w:lineRule="exact"/>
      <w:outlineLvl w:val="1"/>
    </w:pPr>
    <w:rPr>
      <w:rFonts w:cs="Times New Roman"/>
      <w:color w:val="98002E"/>
      <w:sz w:val="28"/>
    </w:rPr>
  </w:style>
  <w:style w:type="paragraph" w:styleId="Heading3">
    <w:name w:val="heading 3"/>
    <w:aliases w:val="B head"/>
    <w:basedOn w:val="Normal"/>
    <w:next w:val="Normal"/>
    <w:link w:val="Heading3Char"/>
    <w:uiPriority w:val="9"/>
    <w:unhideWhenUsed/>
    <w:qFormat/>
    <w:rsid w:val="00020F67"/>
    <w:pPr>
      <w:keepNext/>
      <w:spacing w:before="120" w:after="120" w:line="360" w:lineRule="exact"/>
      <w:outlineLvl w:val="2"/>
    </w:pPr>
    <w:rPr>
      <w:rFonts w:cs="Times New Roman"/>
      <w:color w:val="98002E"/>
      <w:sz w:val="26"/>
    </w:rPr>
  </w:style>
  <w:style w:type="paragraph" w:styleId="Heading4">
    <w:name w:val="heading 4"/>
    <w:aliases w:val="C head"/>
    <w:basedOn w:val="Normal"/>
    <w:next w:val="Normal"/>
    <w:link w:val="Heading4Char"/>
    <w:uiPriority w:val="9"/>
    <w:semiHidden/>
    <w:unhideWhenUsed/>
    <w:qFormat/>
    <w:rsid w:val="00020F67"/>
    <w:pPr>
      <w:keepNext/>
      <w:spacing w:before="120" w:after="120"/>
      <w:outlineLvl w:val="3"/>
    </w:pPr>
    <w:rPr>
      <w:rFonts w:eastAsia="MS Mincho"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2F1870"/>
    <w:pPr>
      <w:spacing w:line="320" w:lineRule="exact"/>
    </w:pPr>
    <w:rPr>
      <w:rFonts w:eastAsia="Calibri"/>
      <w:lang w:eastAsia="en-GB"/>
    </w:rPr>
  </w:style>
  <w:style w:type="character" w:customStyle="1" w:styleId="Heading2Char">
    <w:name w:val="Heading 2 Char"/>
    <w:aliases w:val="A head Char"/>
    <w:link w:val="Heading2"/>
    <w:uiPriority w:val="9"/>
    <w:rsid w:val="00020F67"/>
    <w:rPr>
      <w:rFonts w:ascii="Arial" w:hAnsi="Arial"/>
      <w:color w:val="98002E"/>
      <w:sz w:val="28"/>
    </w:rPr>
  </w:style>
  <w:style w:type="character" w:customStyle="1" w:styleId="Heading3Char">
    <w:name w:val="Heading 3 Char"/>
    <w:aliases w:val="B head Char"/>
    <w:link w:val="Heading3"/>
    <w:uiPriority w:val="9"/>
    <w:rsid w:val="00020F67"/>
    <w:rPr>
      <w:rFonts w:ascii="Arial" w:hAnsi="Arial"/>
      <w:color w:val="98002E"/>
      <w:sz w:val="26"/>
    </w:rPr>
  </w:style>
  <w:style w:type="character" w:customStyle="1" w:styleId="Heading4Char">
    <w:name w:val="Heading 4 Char"/>
    <w:aliases w:val="C head Char"/>
    <w:link w:val="Heading4"/>
    <w:uiPriority w:val="9"/>
    <w:semiHidden/>
    <w:rsid w:val="00020F67"/>
    <w:rPr>
      <w:rFonts w:ascii="Arial" w:eastAsia="MS Mincho" w:hAnsi="Arial"/>
      <w:b/>
      <w:bCs/>
      <w:sz w:val="24"/>
      <w:szCs w:val="28"/>
    </w:rPr>
  </w:style>
  <w:style w:type="paragraph" w:styleId="Header">
    <w:name w:val="header"/>
    <w:basedOn w:val="Normal"/>
    <w:link w:val="HeaderChar"/>
    <w:uiPriority w:val="99"/>
    <w:unhideWhenUsed/>
    <w:qFormat/>
    <w:rsid w:val="003F1C8D"/>
    <w:pPr>
      <w:tabs>
        <w:tab w:val="center" w:pos="4513"/>
        <w:tab w:val="right" w:pos="9026"/>
      </w:tabs>
      <w:spacing w:after="60"/>
      <w:jc w:val="right"/>
    </w:pPr>
    <w:rPr>
      <w:color w:val="666666"/>
      <w:sz w:val="22"/>
    </w:rPr>
  </w:style>
  <w:style w:type="character" w:customStyle="1" w:styleId="HeaderChar">
    <w:name w:val="Header Char"/>
    <w:link w:val="Header"/>
    <w:uiPriority w:val="99"/>
    <w:rsid w:val="003F1C8D"/>
    <w:rPr>
      <w:rFonts w:ascii="Arial" w:hAnsi="Arial" w:cs="Arial"/>
      <w:color w:val="666666"/>
      <w:sz w:val="22"/>
    </w:rPr>
  </w:style>
  <w:style w:type="paragraph" w:customStyle="1" w:styleId="PHEFigureschartstitle">
    <w:name w:val="PHE Figures/charts title"/>
    <w:basedOn w:val="Normal"/>
    <w:qFormat/>
    <w:rsid w:val="00064EEA"/>
    <w:pPr>
      <w:spacing w:before="240" w:after="120" w:line="280" w:lineRule="atLeast"/>
    </w:pPr>
    <w:rPr>
      <w:rFonts w:cs="Times New Roman"/>
      <w:b/>
    </w:rPr>
  </w:style>
  <w:style w:type="character" w:styleId="FollowedHyperlink">
    <w:name w:val="FollowedHyperlink"/>
    <w:rsid w:val="005771B1"/>
    <w:rPr>
      <w:color w:val="98002E"/>
      <w:u w:val="none"/>
    </w:rPr>
  </w:style>
  <w:style w:type="paragraph" w:customStyle="1" w:styleId="PHENumberedbodytext">
    <w:name w:val="PHE Numbered body text"/>
    <w:basedOn w:val="PHEBodycopy"/>
    <w:qFormat/>
    <w:rsid w:val="001E1AFA"/>
    <w:pPr>
      <w:numPr>
        <w:ilvl w:val="1"/>
        <w:numId w:val="2"/>
      </w:numPr>
      <w:ind w:left="709" w:hanging="709"/>
    </w:pPr>
  </w:style>
  <w:style w:type="paragraph" w:customStyle="1" w:styleId="PHEBulletpoints">
    <w:name w:val="PHE Bullet points"/>
    <w:link w:val="PHEBulletpointsChar"/>
    <w:qFormat/>
    <w:rsid w:val="002F1870"/>
    <w:pPr>
      <w:numPr>
        <w:numId w:val="1"/>
      </w:numPr>
      <w:spacing w:line="320" w:lineRule="exact"/>
      <w:ind w:left="357" w:right="851" w:hanging="357"/>
    </w:pPr>
    <w:rPr>
      <w:rFonts w:ascii="Arial" w:hAnsi="Arial" w:cs="Arial"/>
      <w:sz w:val="24"/>
      <w:szCs w:val="24"/>
    </w:rPr>
  </w:style>
  <w:style w:type="character" w:customStyle="1" w:styleId="PHEBulletpointsChar">
    <w:name w:val="PHE Bullet points Char"/>
    <w:link w:val="PHEBulletpoints"/>
    <w:rsid w:val="002F1870"/>
    <w:rPr>
      <w:rFonts w:ascii="Arial" w:hAnsi="Arial" w:cs="Arial"/>
      <w:sz w:val="24"/>
      <w:szCs w:val="24"/>
    </w:rPr>
  </w:style>
  <w:style w:type="table" w:styleId="TableGrid">
    <w:name w:val="Table Grid"/>
    <w:aliases w:val="PHE Table1"/>
    <w:basedOn w:val="TableNormal"/>
    <w:uiPriority w:val="59"/>
    <w:rsid w:val="00237F17"/>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800000"/>
      </w:tcPr>
    </w:tblStylePr>
  </w:style>
  <w:style w:type="paragraph" w:customStyle="1" w:styleId="PHEFootnote">
    <w:name w:val="PHE Footnote"/>
    <w:basedOn w:val="Normal"/>
    <w:qFormat/>
    <w:rsid w:val="008B6CCC"/>
    <w:pPr>
      <w:spacing w:after="60"/>
    </w:pPr>
    <w:rPr>
      <w:rFonts w:cs="Times New Roman"/>
      <w:color w:val="98002E"/>
      <w:sz w:val="18"/>
    </w:rPr>
  </w:style>
  <w:style w:type="paragraph" w:styleId="DocumentMap">
    <w:name w:val="Document Map"/>
    <w:basedOn w:val="Normal"/>
    <w:link w:val="DocumentMapChar"/>
    <w:uiPriority w:val="99"/>
    <w:semiHidden/>
    <w:unhideWhenUsed/>
    <w:rsid w:val="00975446"/>
    <w:rPr>
      <w:rFonts w:ascii="Tahoma" w:hAnsi="Tahoma" w:cs="Times New Roman"/>
      <w:sz w:val="16"/>
      <w:szCs w:val="16"/>
      <w:lang w:val="x-none"/>
    </w:rPr>
  </w:style>
  <w:style w:type="character" w:customStyle="1" w:styleId="DocumentMapChar">
    <w:name w:val="Document Map Char"/>
    <w:link w:val="DocumentMap"/>
    <w:uiPriority w:val="99"/>
    <w:semiHidden/>
    <w:rsid w:val="00975446"/>
    <w:rPr>
      <w:rFonts w:ascii="Tahoma" w:hAnsi="Tahoma" w:cs="Tahoma"/>
      <w:sz w:val="16"/>
      <w:szCs w:val="16"/>
      <w:lang w:eastAsia="en-US"/>
    </w:rPr>
  </w:style>
  <w:style w:type="paragraph" w:customStyle="1" w:styleId="Copyright">
    <w:name w:val="Copyright"/>
    <w:next w:val="PHEBodycopy"/>
    <w:qFormat/>
    <w:rsid w:val="00D97287"/>
    <w:pPr>
      <w:spacing w:before="120" w:after="120" w:line="240" w:lineRule="exact"/>
    </w:pPr>
    <w:rPr>
      <w:rFonts w:ascii="Arial" w:eastAsia="MS Gothic" w:hAnsi="Arial"/>
      <w:lang w:val="en-US" w:eastAsia="en-GB"/>
    </w:rPr>
  </w:style>
  <w:style w:type="paragraph" w:styleId="Title">
    <w:name w:val="Title"/>
    <w:basedOn w:val="Normal"/>
    <w:next w:val="Normal"/>
    <w:link w:val="TitleChar"/>
    <w:uiPriority w:val="10"/>
    <w:qFormat/>
    <w:rsid w:val="005E040A"/>
    <w:pPr>
      <w:tabs>
        <w:tab w:val="left" w:pos="1920"/>
      </w:tabs>
      <w:spacing w:before="240" w:after="240" w:line="400" w:lineRule="exact"/>
      <w:ind w:left="1310"/>
      <w:outlineLvl w:val="0"/>
    </w:pPr>
    <w:rPr>
      <w:rFonts w:eastAsia="MS Gothic" w:cs="Times New Roman"/>
      <w:b/>
      <w:bCs/>
      <w:color w:val="FFFFFF"/>
      <w:spacing w:val="10"/>
      <w:kern w:val="28"/>
      <w:sz w:val="32"/>
      <w:szCs w:val="32"/>
    </w:rPr>
  </w:style>
  <w:style w:type="character" w:customStyle="1" w:styleId="TitleChar">
    <w:name w:val="Title Char"/>
    <w:link w:val="Title"/>
    <w:uiPriority w:val="10"/>
    <w:rsid w:val="005E040A"/>
    <w:rPr>
      <w:rFonts w:ascii="Arial" w:eastAsia="MS Gothic" w:hAnsi="Arial"/>
      <w:b/>
      <w:bCs/>
      <w:color w:val="FFFFFF"/>
      <w:spacing w:val="10"/>
      <w:kern w:val="28"/>
      <w:sz w:val="32"/>
      <w:szCs w:val="32"/>
    </w:rPr>
  </w:style>
  <w:style w:type="character" w:styleId="Hyperlink">
    <w:name w:val="Hyperlink"/>
    <w:uiPriority w:val="99"/>
    <w:rsid w:val="00073BF0"/>
    <w:rPr>
      <w:color w:val="98002E"/>
      <w:u w:val="none"/>
    </w:rPr>
  </w:style>
  <w:style w:type="paragraph" w:styleId="TOC1">
    <w:name w:val="toc 1"/>
    <w:basedOn w:val="Normal"/>
    <w:next w:val="Normal"/>
    <w:link w:val="TOC1Char"/>
    <w:autoRedefine/>
    <w:uiPriority w:val="39"/>
    <w:rsid w:val="00EE159D"/>
    <w:pPr>
      <w:tabs>
        <w:tab w:val="right" w:pos="9299"/>
      </w:tabs>
      <w:spacing w:after="120" w:line="320" w:lineRule="exact"/>
    </w:pPr>
    <w:rPr>
      <w:rFonts w:cs="Times New Roman"/>
      <w:noProof/>
      <w:lang w:val="x-none"/>
    </w:rPr>
  </w:style>
  <w:style w:type="character" w:customStyle="1" w:styleId="TOC1Char">
    <w:name w:val="TOC 1 Char"/>
    <w:link w:val="TOC1"/>
    <w:uiPriority w:val="39"/>
    <w:rsid w:val="00EE159D"/>
    <w:rPr>
      <w:rFonts w:ascii="Arial" w:hAnsi="Arial"/>
      <w:noProof/>
      <w:sz w:val="24"/>
      <w:lang w:val="x-none" w:eastAsia="en-US"/>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ColorfulList">
    <w:name w:val="Colorful List"/>
    <w:aliases w:val="PHE table"/>
    <w:basedOn w:val="TableNormal"/>
    <w:uiPriority w:val="34"/>
    <w:qFormat/>
    <w:rsid w:val="0038690F"/>
    <w:pPr>
      <w:spacing w:after="60" w:line="280" w:lineRule="exact"/>
    </w:pPr>
    <w:rPr>
      <w:rFonts w:ascii="Arial" w:hAnsi="Arial"/>
      <w:color w:val="000000"/>
      <w:sz w:val="22"/>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pPr>
        <w:wordWrap/>
        <w:spacing w:beforeLines="0" w:before="60" w:beforeAutospacing="0" w:afterLines="0" w:after="60" w:afterAutospacing="0" w:line="300" w:lineRule="exact"/>
        <w:jc w:val="left"/>
      </w:pPr>
      <w:rPr>
        <w:b/>
        <w:bCs/>
        <w:color w:val="auto"/>
      </w:rPr>
      <w:tblPr/>
      <w:tcPr>
        <w:shd w:val="clear" w:color="auto" w:fill="999999"/>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style>
  <w:style w:type="paragraph" w:styleId="Footer">
    <w:name w:val="footer"/>
    <w:basedOn w:val="Header"/>
    <w:link w:val="FooterChar"/>
    <w:uiPriority w:val="99"/>
    <w:unhideWhenUsed/>
    <w:rsid w:val="00744105"/>
  </w:style>
  <w:style w:type="character" w:customStyle="1" w:styleId="FooterChar">
    <w:name w:val="Footer Char"/>
    <w:link w:val="Footer"/>
    <w:uiPriority w:val="99"/>
    <w:rsid w:val="00744105"/>
    <w:rPr>
      <w:rFonts w:ascii="Arial" w:hAnsi="Arial" w:cs="Arial"/>
      <w:color w:val="666666"/>
      <w:sz w:val="22"/>
    </w:rPr>
  </w:style>
  <w:style w:type="paragraph" w:styleId="BalloonText">
    <w:name w:val="Balloon Text"/>
    <w:basedOn w:val="Normal"/>
    <w:link w:val="BalloonTextChar"/>
    <w:uiPriority w:val="99"/>
    <w:semiHidden/>
    <w:unhideWhenUsed/>
    <w:rsid w:val="00213E39"/>
    <w:rPr>
      <w:rFonts w:ascii="Tahoma" w:hAnsi="Tahoma" w:cs="Times New Roman"/>
      <w:sz w:val="16"/>
      <w:szCs w:val="16"/>
      <w:lang w:val="x-none"/>
    </w:rPr>
  </w:style>
  <w:style w:type="character" w:customStyle="1" w:styleId="BalloonTextChar">
    <w:name w:val="Balloon Text Char"/>
    <w:link w:val="BalloonText"/>
    <w:uiPriority w:val="99"/>
    <w:semiHidden/>
    <w:rsid w:val="00213E39"/>
    <w:rPr>
      <w:rFonts w:ascii="Tahoma" w:hAnsi="Tahoma" w:cs="Tahoma"/>
      <w:sz w:val="16"/>
      <w:szCs w:val="16"/>
      <w:lang w:eastAsia="en-US"/>
    </w:rPr>
  </w:style>
  <w:style w:type="paragraph" w:styleId="NormalWeb">
    <w:name w:val="Normal (Web)"/>
    <w:basedOn w:val="Normal"/>
    <w:uiPriority w:val="99"/>
    <w:unhideWhenUsed/>
    <w:rsid w:val="00652369"/>
    <w:pPr>
      <w:spacing w:before="100" w:beforeAutospacing="1" w:after="100" w:afterAutospacing="1"/>
    </w:pPr>
    <w:rPr>
      <w:rFonts w:ascii="Times New Roman" w:hAnsi="Times New Roman" w:cs="Times New Roman"/>
      <w:szCs w:val="24"/>
      <w:lang w:eastAsia="en-GB"/>
    </w:rPr>
  </w:style>
  <w:style w:type="paragraph" w:customStyle="1" w:styleId="PHEBulletpointsfornumberedtext">
    <w:name w:val="PHE Bullet points for numbered text"/>
    <w:basedOn w:val="PHEBulletpoints"/>
    <w:link w:val="PHEBulletpointsfornumberedtextChar"/>
    <w:qFormat/>
    <w:rsid w:val="00262FD3"/>
    <w:pPr>
      <w:tabs>
        <w:tab w:val="left" w:pos="1134"/>
      </w:tabs>
      <w:spacing w:before="60" w:after="60"/>
      <w:ind w:left="1134" w:hanging="425"/>
    </w:pPr>
  </w:style>
  <w:style w:type="character" w:customStyle="1" w:styleId="PHEBulletpointsfornumberedtextChar">
    <w:name w:val="PHE Bullet points for numbered text Char"/>
    <w:basedOn w:val="PHEBulletpointsChar"/>
    <w:link w:val="PHEBulletpointsfornumberedtext"/>
    <w:rsid w:val="00262FD3"/>
    <w:rPr>
      <w:rFonts w:ascii="Arial" w:hAnsi="Arial" w:cs="Arial"/>
      <w:sz w:val="24"/>
      <w:szCs w:val="24"/>
    </w:rPr>
  </w:style>
  <w:style w:type="paragraph" w:styleId="Subtitle">
    <w:name w:val="Subtitle"/>
    <w:basedOn w:val="Normal"/>
    <w:next w:val="Normal"/>
    <w:link w:val="SubtitleChar"/>
    <w:uiPriority w:val="11"/>
    <w:qFormat/>
    <w:rsid w:val="0032491E"/>
    <w:pPr>
      <w:tabs>
        <w:tab w:val="left" w:pos="0"/>
      </w:tabs>
      <w:spacing w:before="240" w:after="240" w:line="400" w:lineRule="exact"/>
      <w:ind w:right="567"/>
    </w:pPr>
    <w:rPr>
      <w:rFonts w:cs="Times New Roman"/>
      <w:color w:val="98002E"/>
      <w:sz w:val="32"/>
      <w:szCs w:val="32"/>
      <w:lang w:eastAsia="en-GB"/>
    </w:rPr>
  </w:style>
  <w:style w:type="character" w:customStyle="1" w:styleId="SubtitleChar">
    <w:name w:val="Subtitle Char"/>
    <w:link w:val="Subtitle"/>
    <w:uiPriority w:val="11"/>
    <w:rsid w:val="0032491E"/>
    <w:rPr>
      <w:rFonts w:ascii="Arial" w:hAnsi="Arial"/>
      <w:color w:val="98002E"/>
      <w:sz w:val="32"/>
      <w:szCs w:val="32"/>
      <w:lang w:eastAsia="en-GB"/>
    </w:rPr>
  </w:style>
  <w:style w:type="paragraph" w:styleId="FootnoteText">
    <w:name w:val="footnote text"/>
    <w:basedOn w:val="Normal"/>
    <w:link w:val="FootnoteTextChar"/>
    <w:uiPriority w:val="99"/>
    <w:unhideWhenUsed/>
    <w:qFormat/>
    <w:rsid w:val="002C5992"/>
    <w:pPr>
      <w:spacing w:after="60"/>
    </w:pPr>
    <w:rPr>
      <w:sz w:val="20"/>
      <w:szCs w:val="24"/>
    </w:rPr>
  </w:style>
  <w:style w:type="character" w:customStyle="1" w:styleId="FootnoteTextChar">
    <w:name w:val="Footnote Text Char"/>
    <w:basedOn w:val="DefaultParagraphFont"/>
    <w:link w:val="FootnoteText"/>
    <w:uiPriority w:val="99"/>
    <w:rsid w:val="002C5992"/>
    <w:rPr>
      <w:rFonts w:ascii="Arial" w:hAnsi="Arial" w:cs="Arial"/>
      <w:szCs w:val="24"/>
    </w:rPr>
  </w:style>
  <w:style w:type="character" w:styleId="FootnoteReference">
    <w:name w:val="footnote reference"/>
    <w:basedOn w:val="DefaultParagraphFont"/>
    <w:uiPriority w:val="99"/>
    <w:unhideWhenUsed/>
    <w:rsid w:val="002C5992"/>
    <w:rPr>
      <w:vertAlign w:val="superscript"/>
    </w:rPr>
  </w:style>
  <w:style w:type="paragraph" w:styleId="EndnoteText">
    <w:name w:val="endnote text"/>
    <w:aliases w:val="Reference"/>
    <w:basedOn w:val="Normal"/>
    <w:link w:val="EndnoteTextChar"/>
    <w:uiPriority w:val="99"/>
    <w:unhideWhenUsed/>
    <w:qFormat/>
    <w:rsid w:val="00FB4F05"/>
    <w:pPr>
      <w:spacing w:before="120" w:after="120"/>
    </w:pPr>
    <w:rPr>
      <w:sz w:val="22"/>
      <w:szCs w:val="24"/>
    </w:rPr>
  </w:style>
  <w:style w:type="character" w:customStyle="1" w:styleId="EndnoteTextChar">
    <w:name w:val="Endnote Text Char"/>
    <w:aliases w:val="Reference Char"/>
    <w:basedOn w:val="DefaultParagraphFont"/>
    <w:link w:val="EndnoteText"/>
    <w:uiPriority w:val="99"/>
    <w:rsid w:val="00FB4F05"/>
    <w:rPr>
      <w:rFonts w:ascii="Arial" w:hAnsi="Arial" w:cs="Arial"/>
      <w:sz w:val="22"/>
      <w:szCs w:val="24"/>
    </w:rPr>
  </w:style>
  <w:style w:type="character" w:styleId="EndnoteReference">
    <w:name w:val="endnote reference"/>
    <w:basedOn w:val="DefaultParagraphFont"/>
    <w:uiPriority w:val="99"/>
    <w:unhideWhenUsed/>
    <w:rsid w:val="00FB4F05"/>
    <w:rPr>
      <w:vertAlign w:val="superscript"/>
    </w:rPr>
  </w:style>
  <w:style w:type="character" w:styleId="Emphasis">
    <w:name w:val="Emphasis"/>
    <w:basedOn w:val="DefaultParagraphFont"/>
    <w:uiPriority w:val="20"/>
    <w:qFormat/>
    <w:rsid w:val="009066B9"/>
    <w:rPr>
      <w:i/>
      <w:iCs/>
    </w:rPr>
  </w:style>
  <w:style w:type="paragraph" w:styleId="PlainText">
    <w:name w:val="Plain Text"/>
    <w:basedOn w:val="Normal"/>
    <w:link w:val="PlainTextChar"/>
    <w:uiPriority w:val="99"/>
    <w:unhideWhenUsed/>
    <w:rsid w:val="00262FD3"/>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262FD3"/>
    <w:rPr>
      <w:rFonts w:ascii="Courier" w:eastAsia="MS Mincho" w:hAnsi="Courier"/>
      <w:sz w:val="21"/>
      <w:szCs w:val="21"/>
    </w:rPr>
  </w:style>
  <w:style w:type="paragraph" w:customStyle="1" w:styleId="PHENumberedbody">
    <w:name w:val="PHE Numbered body"/>
    <w:basedOn w:val="PHEBodycopy"/>
    <w:qFormat/>
    <w:rsid w:val="001E1AFA"/>
    <w:pPr>
      <w:numPr>
        <w:numId w:val="2"/>
      </w:numPr>
      <w:ind w:left="709" w:hanging="709"/>
    </w:pPr>
  </w:style>
  <w:style w:type="paragraph" w:customStyle="1" w:styleId="PHESecondaryheading">
    <w:name w:val="PHE Secondary heading"/>
    <w:basedOn w:val="Normal"/>
    <w:rsid w:val="002F1870"/>
    <w:pPr>
      <w:spacing w:after="240" w:line="660" w:lineRule="exact"/>
      <w:ind w:right="794"/>
      <w:outlineLvl w:val="0"/>
    </w:pPr>
    <w:rPr>
      <w:color w:val="98002E"/>
      <w:sz w:val="28"/>
      <w:szCs w:val="4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1F61"/>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CE163E"/>
    <w:pPr>
      <w:autoSpaceDE w:val="0"/>
      <w:autoSpaceDN w:val="0"/>
      <w:adjustRightInd w:val="0"/>
    </w:pPr>
    <w:rPr>
      <w:rFonts w:ascii="Calibri" w:eastAsia="Calibri" w:hAnsi="Calibri" w:cs="Calibri"/>
      <w:color w:val="000000"/>
      <w:sz w:val="24"/>
      <w:szCs w:val="24"/>
      <w:lang w:eastAsia="en-GB"/>
    </w:rPr>
  </w:style>
  <w:style w:type="character" w:customStyle="1" w:styleId="Heading1Char">
    <w:name w:val="Heading 1 Char"/>
    <w:aliases w:val="Section Head Char"/>
    <w:link w:val="Heading1"/>
    <w:rsid w:val="000D1BDA"/>
    <w:rPr>
      <w:rFonts w:ascii="Arial" w:hAnsi="Arial"/>
      <w:color w:val="98002E"/>
      <w:sz w:val="32"/>
      <w:szCs w:val="48"/>
    </w:rPr>
  </w:style>
  <w:style w:type="paragraph" w:customStyle="1" w:styleId="story-bodyintroduction1">
    <w:name w:val="story-body__introduction1"/>
    <w:basedOn w:val="Normal"/>
    <w:rsid w:val="001321B4"/>
    <w:pPr>
      <w:spacing w:before="360" w:after="100" w:afterAutospacing="1"/>
    </w:pPr>
    <w:rPr>
      <w:rFonts w:ascii="Times New Roman" w:hAnsi="Times New Roman" w:cs="Times New Roman"/>
      <w:b/>
      <w:bCs/>
      <w:color w:val="404040"/>
      <w:szCs w:val="24"/>
      <w:lang w:eastAsia="en-GB"/>
    </w:rPr>
  </w:style>
  <w:style w:type="paragraph" w:styleId="NoSpacing">
    <w:name w:val="No Spacing"/>
    <w:uiPriority w:val="1"/>
    <w:qFormat/>
    <w:rsid w:val="00910B7F"/>
    <w:rPr>
      <w:rFonts w:eastAsiaTheme="minorHAnsi"/>
      <w:sz w:val="24"/>
      <w:szCs w:val="24"/>
      <w:lang w:eastAsia="en-GB"/>
    </w:rPr>
  </w:style>
  <w:style w:type="character" w:styleId="Strong">
    <w:name w:val="Strong"/>
    <w:basedOn w:val="DefaultParagraphFont"/>
    <w:uiPriority w:val="22"/>
    <w:qFormat/>
    <w:rsid w:val="00292BFE"/>
    <w:rPr>
      <w:b/>
      <w:bCs/>
    </w:rPr>
  </w:style>
  <w:style w:type="paragraph" w:styleId="CommentText">
    <w:name w:val="annotation text"/>
    <w:basedOn w:val="Normal"/>
    <w:link w:val="CommentTextChar"/>
    <w:uiPriority w:val="99"/>
    <w:semiHidden/>
    <w:unhideWhenUsed/>
    <w:rsid w:val="007B1022"/>
    <w:rPr>
      <w:sz w:val="20"/>
    </w:rPr>
  </w:style>
  <w:style w:type="character" w:customStyle="1" w:styleId="CommentTextChar">
    <w:name w:val="Comment Text Char"/>
    <w:basedOn w:val="DefaultParagraphFont"/>
    <w:link w:val="CommentText"/>
    <w:uiPriority w:val="99"/>
    <w:semiHidden/>
    <w:rsid w:val="007B1022"/>
    <w:rPr>
      <w:rFonts w:ascii="Arial" w:hAnsi="Arial" w:cs="Arial"/>
    </w:rPr>
  </w:style>
  <w:style w:type="character" w:styleId="CommentReference">
    <w:name w:val="annotation reference"/>
    <w:basedOn w:val="DefaultParagraphFont"/>
    <w:uiPriority w:val="99"/>
    <w:semiHidden/>
    <w:unhideWhenUsed/>
    <w:rsid w:val="007B1022"/>
    <w:rPr>
      <w:sz w:val="16"/>
      <w:szCs w:val="16"/>
    </w:rPr>
  </w:style>
  <w:style w:type="paragraph" w:styleId="CommentSubject">
    <w:name w:val="annotation subject"/>
    <w:basedOn w:val="CommentText"/>
    <w:next w:val="CommentText"/>
    <w:link w:val="CommentSubjectChar"/>
    <w:uiPriority w:val="99"/>
    <w:semiHidden/>
    <w:unhideWhenUsed/>
    <w:rsid w:val="00D71421"/>
    <w:rPr>
      <w:b/>
      <w:bCs/>
    </w:rPr>
  </w:style>
  <w:style w:type="character" w:customStyle="1" w:styleId="CommentSubjectChar">
    <w:name w:val="Comment Subject Char"/>
    <w:basedOn w:val="CommentTextChar"/>
    <w:link w:val="CommentSubject"/>
    <w:uiPriority w:val="99"/>
    <w:semiHidden/>
    <w:rsid w:val="00D71421"/>
    <w:rPr>
      <w:rFonts w:ascii="Arial" w:hAnsi="Arial" w:cs="Arial"/>
      <w:b/>
      <w:bCs/>
    </w:rPr>
  </w:style>
  <w:style w:type="paragraph" w:customStyle="1" w:styleId="td-post-sub-title">
    <w:name w:val="td-post-sub-title"/>
    <w:basedOn w:val="Normal"/>
    <w:rsid w:val="00A92A7D"/>
    <w:pPr>
      <w:spacing w:before="135" w:after="210" w:line="360" w:lineRule="atLeast"/>
    </w:pPr>
    <w:rPr>
      <w:rFonts w:ascii="Open Sans" w:hAnsi="Open Sans" w:cs="Times New Roman"/>
      <w:i/>
      <w:iCs/>
      <w:color w:val="999999"/>
      <w:szCs w:val="24"/>
      <w:lang w:eastAsia="en-GB"/>
    </w:rPr>
  </w:style>
  <w:style w:type="character" w:customStyle="1" w:styleId="td-post-date18">
    <w:name w:val="td-post-date18"/>
    <w:basedOn w:val="DefaultParagraphFont"/>
    <w:rsid w:val="00A92A7D"/>
    <w:rPr>
      <w:color w:val="AAAAAA"/>
    </w:rPr>
  </w:style>
  <w:style w:type="character" w:customStyle="1" w:styleId="td-nr-views-41623">
    <w:name w:val="td-nr-views-41623"/>
    <w:basedOn w:val="DefaultParagraphFont"/>
    <w:rsid w:val="00A92A7D"/>
  </w:style>
  <w:style w:type="character" w:customStyle="1" w:styleId="Normal1">
    <w:name w:val="Normal1"/>
    <w:basedOn w:val="DefaultParagraphFont"/>
    <w:rsid w:val="005D3AA4"/>
  </w:style>
  <w:style w:type="character" w:customStyle="1" w:styleId="h2headingstyle1">
    <w:name w:val="h2headingstyle1"/>
    <w:basedOn w:val="DefaultParagraphFont"/>
    <w:rsid w:val="00F43B40"/>
    <w:rPr>
      <w:rFonts w:ascii="Verdana" w:hAnsi="Verdana" w:hint="default"/>
      <w:b/>
      <w:bCs/>
      <w:color w:val="000000"/>
      <w:sz w:val="20"/>
      <w:szCs w:val="20"/>
    </w:rPr>
  </w:style>
  <w:style w:type="character" w:customStyle="1" w:styleId="normal10">
    <w:name w:val="normal1"/>
    <w:basedOn w:val="DefaultParagraphFont"/>
    <w:rsid w:val="00122E42"/>
    <w:rPr>
      <w:rFonts w:ascii="Verdana" w:hAnsi="Verdana" w:hint="default"/>
      <w:b w:val="0"/>
      <w:bCs w:val="0"/>
      <w:color w:val="000000"/>
      <w:sz w:val="17"/>
      <w:szCs w:val="17"/>
    </w:rPr>
  </w:style>
  <w:style w:type="character" w:customStyle="1" w:styleId="A4">
    <w:name w:val="A4"/>
    <w:uiPriority w:val="99"/>
    <w:rsid w:val="00D906CA"/>
    <w:rPr>
      <w:rFonts w:cs="Lucida Sans"/>
      <w:color w:val="000000"/>
      <w:sz w:val="26"/>
      <w:szCs w:val="26"/>
    </w:rPr>
  </w:style>
  <w:style w:type="character" w:customStyle="1" w:styleId="apple-converted-space">
    <w:name w:val="apple-converted-space"/>
    <w:basedOn w:val="DefaultParagraphFont"/>
    <w:rsid w:val="008B0283"/>
  </w:style>
  <w:style w:type="paragraph" w:customStyle="1" w:styleId="size-131">
    <w:name w:val="size-131"/>
    <w:basedOn w:val="Normal"/>
    <w:uiPriority w:val="99"/>
    <w:rsid w:val="00EC6754"/>
    <w:pPr>
      <w:spacing w:before="100" w:beforeAutospacing="1" w:after="100" w:afterAutospacing="1" w:line="315" w:lineRule="atLeast"/>
    </w:pPr>
    <w:rPr>
      <w:rFonts w:ascii="Times New Roman" w:eastAsiaTheme="minorHAnsi" w:hAnsi="Times New Roman" w:cs="Times New Roman"/>
      <w:sz w:val="20"/>
      <w:lang w:eastAsia="en-GB"/>
    </w:rPr>
  </w:style>
  <w:style w:type="paragraph" w:customStyle="1" w:styleId="size-141">
    <w:name w:val="size-141"/>
    <w:basedOn w:val="Normal"/>
    <w:uiPriority w:val="99"/>
    <w:rsid w:val="00EC6754"/>
    <w:pPr>
      <w:spacing w:before="100" w:beforeAutospacing="1" w:after="100" w:afterAutospacing="1" w:line="315" w:lineRule="atLeast"/>
    </w:pPr>
    <w:rPr>
      <w:rFonts w:ascii="Times New Roman" w:eastAsiaTheme="minorHAnsi" w:hAnsi="Times New Roman" w:cs="Times New Roman"/>
      <w:sz w:val="21"/>
      <w:szCs w:val="21"/>
      <w:lang w:eastAsia="en-GB"/>
    </w:rPr>
  </w:style>
  <w:style w:type="paragraph" w:customStyle="1" w:styleId="size-201">
    <w:name w:val="size-201"/>
    <w:basedOn w:val="Normal"/>
    <w:uiPriority w:val="99"/>
    <w:rsid w:val="00EC6754"/>
    <w:pPr>
      <w:spacing w:before="100" w:beforeAutospacing="1" w:after="100" w:afterAutospacing="1" w:line="420" w:lineRule="atLeast"/>
    </w:pPr>
    <w:rPr>
      <w:rFonts w:ascii="Times New Roman" w:eastAsiaTheme="minorHAnsi" w:hAnsi="Times New Roman" w:cs="Times New Roman"/>
      <w:sz w:val="30"/>
      <w:szCs w:val="30"/>
      <w:lang w:eastAsia="en-GB"/>
    </w:rPr>
  </w:style>
  <w:style w:type="character" w:customStyle="1" w:styleId="m2416373231244402486gmail-il">
    <w:name w:val="m_2416373231244402486gmail-il"/>
    <w:basedOn w:val="DefaultParagraphFont"/>
    <w:rsid w:val="00211366"/>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066B3E"/>
    <w:rPr>
      <w:rFonts w:ascii="Calibri" w:eastAsia="Calibri" w:hAnsi="Calibri"/>
      <w:sz w:val="22"/>
      <w:szCs w:val="22"/>
    </w:rPr>
  </w:style>
  <w:style w:type="paragraph" w:customStyle="1" w:styleId="Pa6">
    <w:name w:val="Pa6"/>
    <w:basedOn w:val="Default"/>
    <w:next w:val="Default"/>
    <w:uiPriority w:val="99"/>
    <w:rsid w:val="0058709F"/>
    <w:pPr>
      <w:spacing w:line="221" w:lineRule="atLeast"/>
    </w:pPr>
    <w:rPr>
      <w:rFonts w:ascii="FS Me" w:eastAsia="Times New Roman" w:hAnsi="FS Me" w:cs="Times New Roman"/>
      <w:color w:val="auto"/>
      <w:lang w:eastAsia="en-US"/>
    </w:rPr>
  </w:style>
  <w:style w:type="character" w:styleId="UnresolvedMention">
    <w:name w:val="Unresolved Mention"/>
    <w:basedOn w:val="DefaultParagraphFont"/>
    <w:uiPriority w:val="99"/>
    <w:semiHidden/>
    <w:unhideWhenUsed/>
    <w:rsid w:val="00515F9C"/>
    <w:rPr>
      <w:color w:val="808080"/>
      <w:shd w:val="clear" w:color="auto" w:fill="E6E6E6"/>
    </w:rPr>
  </w:style>
  <w:style w:type="character" w:customStyle="1" w:styleId="EKBodyCopyChar">
    <w:name w:val="EK Body Copy Char"/>
    <w:basedOn w:val="DefaultParagraphFont"/>
    <w:link w:val="EKBodyCopy"/>
    <w:locked/>
    <w:rsid w:val="00126FC9"/>
    <w:rPr>
      <w:rFonts w:ascii="Arial" w:hAnsi="Arial" w:cs="Arial"/>
    </w:rPr>
  </w:style>
  <w:style w:type="paragraph" w:customStyle="1" w:styleId="EKBodyCopy">
    <w:name w:val="EK Body Copy"/>
    <w:basedOn w:val="Normal"/>
    <w:link w:val="EKBodyCopyChar"/>
    <w:rsid w:val="00126FC9"/>
    <w:pPr>
      <w:spacing w:line="320" w:lineRule="exact"/>
      <w:ind w:right="79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4898">
      <w:bodyDiv w:val="1"/>
      <w:marLeft w:val="0"/>
      <w:marRight w:val="0"/>
      <w:marTop w:val="0"/>
      <w:marBottom w:val="0"/>
      <w:divBdr>
        <w:top w:val="none" w:sz="0" w:space="0" w:color="auto"/>
        <w:left w:val="none" w:sz="0" w:space="0" w:color="auto"/>
        <w:bottom w:val="none" w:sz="0" w:space="0" w:color="auto"/>
        <w:right w:val="none" w:sz="0" w:space="0" w:color="auto"/>
      </w:divBdr>
    </w:div>
    <w:div w:id="51925601">
      <w:bodyDiv w:val="1"/>
      <w:marLeft w:val="0"/>
      <w:marRight w:val="0"/>
      <w:marTop w:val="0"/>
      <w:marBottom w:val="0"/>
      <w:divBdr>
        <w:top w:val="none" w:sz="0" w:space="0" w:color="auto"/>
        <w:left w:val="none" w:sz="0" w:space="0" w:color="auto"/>
        <w:bottom w:val="none" w:sz="0" w:space="0" w:color="auto"/>
        <w:right w:val="none" w:sz="0" w:space="0" w:color="auto"/>
      </w:divBdr>
    </w:div>
    <w:div w:id="99375273">
      <w:bodyDiv w:val="1"/>
      <w:marLeft w:val="0"/>
      <w:marRight w:val="0"/>
      <w:marTop w:val="0"/>
      <w:marBottom w:val="0"/>
      <w:divBdr>
        <w:top w:val="none" w:sz="0" w:space="0" w:color="auto"/>
        <w:left w:val="none" w:sz="0" w:space="0" w:color="auto"/>
        <w:bottom w:val="none" w:sz="0" w:space="0" w:color="auto"/>
        <w:right w:val="none" w:sz="0" w:space="0" w:color="auto"/>
      </w:divBdr>
    </w:div>
    <w:div w:id="110131049">
      <w:bodyDiv w:val="1"/>
      <w:marLeft w:val="0"/>
      <w:marRight w:val="0"/>
      <w:marTop w:val="0"/>
      <w:marBottom w:val="0"/>
      <w:divBdr>
        <w:top w:val="none" w:sz="0" w:space="0" w:color="auto"/>
        <w:left w:val="none" w:sz="0" w:space="0" w:color="auto"/>
        <w:bottom w:val="none" w:sz="0" w:space="0" w:color="auto"/>
        <w:right w:val="none" w:sz="0" w:space="0" w:color="auto"/>
      </w:divBdr>
      <w:divsChild>
        <w:div w:id="425425985">
          <w:marLeft w:val="0"/>
          <w:marRight w:val="0"/>
          <w:marTop w:val="0"/>
          <w:marBottom w:val="0"/>
          <w:divBdr>
            <w:top w:val="none" w:sz="0" w:space="0" w:color="auto"/>
            <w:left w:val="none" w:sz="0" w:space="0" w:color="auto"/>
            <w:bottom w:val="none" w:sz="0" w:space="0" w:color="auto"/>
            <w:right w:val="none" w:sz="0" w:space="0" w:color="auto"/>
          </w:divBdr>
          <w:divsChild>
            <w:div w:id="558706702">
              <w:marLeft w:val="0"/>
              <w:marRight w:val="0"/>
              <w:marTop w:val="0"/>
              <w:marBottom w:val="0"/>
              <w:divBdr>
                <w:top w:val="none" w:sz="0" w:space="0" w:color="auto"/>
                <w:left w:val="none" w:sz="0" w:space="0" w:color="auto"/>
                <w:bottom w:val="none" w:sz="0" w:space="0" w:color="auto"/>
                <w:right w:val="none" w:sz="0" w:space="0" w:color="auto"/>
              </w:divBdr>
              <w:divsChild>
                <w:div w:id="28652298">
                  <w:marLeft w:val="0"/>
                  <w:marRight w:val="0"/>
                  <w:marTop w:val="0"/>
                  <w:marBottom w:val="0"/>
                  <w:divBdr>
                    <w:top w:val="none" w:sz="0" w:space="0" w:color="auto"/>
                    <w:left w:val="none" w:sz="0" w:space="0" w:color="auto"/>
                    <w:bottom w:val="none" w:sz="0" w:space="0" w:color="auto"/>
                    <w:right w:val="none" w:sz="0" w:space="0" w:color="auto"/>
                  </w:divBdr>
                  <w:divsChild>
                    <w:div w:id="1336153943">
                      <w:marLeft w:val="-225"/>
                      <w:marRight w:val="-225"/>
                      <w:marTop w:val="0"/>
                      <w:marBottom w:val="0"/>
                      <w:divBdr>
                        <w:top w:val="none" w:sz="0" w:space="0" w:color="auto"/>
                        <w:left w:val="none" w:sz="0" w:space="0" w:color="auto"/>
                        <w:bottom w:val="none" w:sz="0" w:space="0" w:color="auto"/>
                        <w:right w:val="none" w:sz="0" w:space="0" w:color="auto"/>
                      </w:divBdr>
                      <w:divsChild>
                        <w:div w:id="16801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6466">
      <w:bodyDiv w:val="1"/>
      <w:marLeft w:val="0"/>
      <w:marRight w:val="0"/>
      <w:marTop w:val="0"/>
      <w:marBottom w:val="0"/>
      <w:divBdr>
        <w:top w:val="none" w:sz="0" w:space="0" w:color="auto"/>
        <w:left w:val="none" w:sz="0" w:space="0" w:color="auto"/>
        <w:bottom w:val="none" w:sz="0" w:space="0" w:color="auto"/>
        <w:right w:val="none" w:sz="0" w:space="0" w:color="auto"/>
      </w:divBdr>
    </w:div>
    <w:div w:id="134228337">
      <w:bodyDiv w:val="1"/>
      <w:marLeft w:val="0"/>
      <w:marRight w:val="0"/>
      <w:marTop w:val="0"/>
      <w:marBottom w:val="0"/>
      <w:divBdr>
        <w:top w:val="none" w:sz="0" w:space="0" w:color="auto"/>
        <w:left w:val="none" w:sz="0" w:space="0" w:color="auto"/>
        <w:bottom w:val="none" w:sz="0" w:space="0" w:color="auto"/>
        <w:right w:val="none" w:sz="0" w:space="0" w:color="auto"/>
      </w:divBdr>
      <w:divsChild>
        <w:div w:id="638266731">
          <w:marLeft w:val="0"/>
          <w:marRight w:val="0"/>
          <w:marTop w:val="0"/>
          <w:marBottom w:val="0"/>
          <w:divBdr>
            <w:top w:val="none" w:sz="0" w:space="0" w:color="auto"/>
            <w:left w:val="none" w:sz="0" w:space="0" w:color="auto"/>
            <w:bottom w:val="none" w:sz="0" w:space="0" w:color="auto"/>
            <w:right w:val="none" w:sz="0" w:space="0" w:color="auto"/>
          </w:divBdr>
          <w:divsChild>
            <w:div w:id="1903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8481">
      <w:bodyDiv w:val="1"/>
      <w:marLeft w:val="0"/>
      <w:marRight w:val="0"/>
      <w:marTop w:val="0"/>
      <w:marBottom w:val="0"/>
      <w:divBdr>
        <w:top w:val="none" w:sz="0" w:space="0" w:color="auto"/>
        <w:left w:val="none" w:sz="0" w:space="0" w:color="auto"/>
        <w:bottom w:val="none" w:sz="0" w:space="0" w:color="auto"/>
        <w:right w:val="none" w:sz="0" w:space="0" w:color="auto"/>
      </w:divBdr>
      <w:divsChild>
        <w:div w:id="198784261">
          <w:marLeft w:val="0"/>
          <w:marRight w:val="0"/>
          <w:marTop w:val="0"/>
          <w:marBottom w:val="0"/>
          <w:divBdr>
            <w:top w:val="none" w:sz="0" w:space="0" w:color="auto"/>
            <w:left w:val="none" w:sz="0" w:space="0" w:color="auto"/>
            <w:bottom w:val="none" w:sz="0" w:space="0" w:color="auto"/>
            <w:right w:val="none" w:sz="0" w:space="0" w:color="auto"/>
          </w:divBdr>
          <w:divsChild>
            <w:div w:id="915630922">
              <w:marLeft w:val="0"/>
              <w:marRight w:val="0"/>
              <w:marTop w:val="0"/>
              <w:marBottom w:val="0"/>
              <w:divBdr>
                <w:top w:val="none" w:sz="0" w:space="0" w:color="auto"/>
                <w:left w:val="none" w:sz="0" w:space="0" w:color="auto"/>
                <w:bottom w:val="none" w:sz="0" w:space="0" w:color="auto"/>
                <w:right w:val="none" w:sz="0" w:space="0" w:color="auto"/>
              </w:divBdr>
              <w:divsChild>
                <w:div w:id="788164047">
                  <w:marLeft w:val="0"/>
                  <w:marRight w:val="0"/>
                  <w:marTop w:val="0"/>
                  <w:marBottom w:val="0"/>
                  <w:divBdr>
                    <w:top w:val="none" w:sz="0" w:space="0" w:color="auto"/>
                    <w:left w:val="none" w:sz="0" w:space="0" w:color="auto"/>
                    <w:bottom w:val="none" w:sz="0" w:space="0" w:color="auto"/>
                    <w:right w:val="none" w:sz="0" w:space="0" w:color="auto"/>
                  </w:divBdr>
                  <w:divsChild>
                    <w:div w:id="7853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442456">
      <w:bodyDiv w:val="1"/>
      <w:marLeft w:val="0"/>
      <w:marRight w:val="0"/>
      <w:marTop w:val="0"/>
      <w:marBottom w:val="0"/>
      <w:divBdr>
        <w:top w:val="none" w:sz="0" w:space="0" w:color="auto"/>
        <w:left w:val="none" w:sz="0" w:space="0" w:color="auto"/>
        <w:bottom w:val="none" w:sz="0" w:space="0" w:color="auto"/>
        <w:right w:val="none" w:sz="0" w:space="0" w:color="auto"/>
      </w:divBdr>
    </w:div>
    <w:div w:id="255291421">
      <w:bodyDiv w:val="1"/>
      <w:marLeft w:val="0"/>
      <w:marRight w:val="0"/>
      <w:marTop w:val="0"/>
      <w:marBottom w:val="0"/>
      <w:divBdr>
        <w:top w:val="none" w:sz="0" w:space="0" w:color="auto"/>
        <w:left w:val="none" w:sz="0" w:space="0" w:color="auto"/>
        <w:bottom w:val="none" w:sz="0" w:space="0" w:color="auto"/>
        <w:right w:val="none" w:sz="0" w:space="0" w:color="auto"/>
      </w:divBdr>
      <w:divsChild>
        <w:div w:id="1871608884">
          <w:marLeft w:val="0"/>
          <w:marRight w:val="0"/>
          <w:marTop w:val="0"/>
          <w:marBottom w:val="0"/>
          <w:divBdr>
            <w:top w:val="none" w:sz="0" w:space="0" w:color="auto"/>
            <w:left w:val="none" w:sz="0" w:space="0" w:color="auto"/>
            <w:bottom w:val="none" w:sz="0" w:space="0" w:color="auto"/>
            <w:right w:val="none" w:sz="0" w:space="0" w:color="auto"/>
          </w:divBdr>
          <w:divsChild>
            <w:div w:id="448472420">
              <w:marLeft w:val="0"/>
              <w:marRight w:val="0"/>
              <w:marTop w:val="0"/>
              <w:marBottom w:val="0"/>
              <w:divBdr>
                <w:top w:val="none" w:sz="0" w:space="0" w:color="auto"/>
                <w:left w:val="none" w:sz="0" w:space="0" w:color="auto"/>
                <w:bottom w:val="none" w:sz="0" w:space="0" w:color="auto"/>
                <w:right w:val="none" w:sz="0" w:space="0" w:color="auto"/>
              </w:divBdr>
              <w:divsChild>
                <w:div w:id="55670029">
                  <w:marLeft w:val="0"/>
                  <w:marRight w:val="0"/>
                  <w:marTop w:val="0"/>
                  <w:marBottom w:val="0"/>
                  <w:divBdr>
                    <w:top w:val="none" w:sz="0" w:space="0" w:color="auto"/>
                    <w:left w:val="none" w:sz="0" w:space="0" w:color="auto"/>
                    <w:bottom w:val="none" w:sz="0" w:space="0" w:color="auto"/>
                    <w:right w:val="none" w:sz="0" w:space="0" w:color="auto"/>
                  </w:divBdr>
                  <w:divsChild>
                    <w:div w:id="1927374472">
                      <w:marLeft w:val="0"/>
                      <w:marRight w:val="0"/>
                      <w:marTop w:val="0"/>
                      <w:marBottom w:val="0"/>
                      <w:divBdr>
                        <w:top w:val="none" w:sz="0" w:space="0" w:color="auto"/>
                        <w:left w:val="none" w:sz="0" w:space="0" w:color="auto"/>
                        <w:bottom w:val="none" w:sz="0" w:space="0" w:color="auto"/>
                        <w:right w:val="none" w:sz="0" w:space="0" w:color="auto"/>
                      </w:divBdr>
                      <w:divsChild>
                        <w:div w:id="905995607">
                          <w:marLeft w:val="0"/>
                          <w:marRight w:val="0"/>
                          <w:marTop w:val="0"/>
                          <w:marBottom w:val="0"/>
                          <w:divBdr>
                            <w:top w:val="none" w:sz="0" w:space="0" w:color="auto"/>
                            <w:left w:val="none" w:sz="0" w:space="0" w:color="auto"/>
                            <w:bottom w:val="none" w:sz="0" w:space="0" w:color="auto"/>
                            <w:right w:val="none" w:sz="0" w:space="0" w:color="auto"/>
                          </w:divBdr>
                          <w:divsChild>
                            <w:div w:id="523714289">
                              <w:marLeft w:val="-120"/>
                              <w:marRight w:val="-120"/>
                              <w:marTop w:val="0"/>
                              <w:marBottom w:val="0"/>
                              <w:divBdr>
                                <w:top w:val="none" w:sz="0" w:space="0" w:color="auto"/>
                                <w:left w:val="none" w:sz="0" w:space="0" w:color="auto"/>
                                <w:bottom w:val="none" w:sz="0" w:space="0" w:color="auto"/>
                                <w:right w:val="none" w:sz="0" w:space="0" w:color="auto"/>
                              </w:divBdr>
                              <w:divsChild>
                                <w:div w:id="1889027244">
                                  <w:marLeft w:val="0"/>
                                  <w:marRight w:val="0"/>
                                  <w:marTop w:val="0"/>
                                  <w:marBottom w:val="0"/>
                                  <w:divBdr>
                                    <w:top w:val="none" w:sz="0" w:space="0" w:color="auto"/>
                                    <w:left w:val="none" w:sz="0" w:space="0" w:color="auto"/>
                                    <w:bottom w:val="none" w:sz="0" w:space="0" w:color="auto"/>
                                    <w:right w:val="none" w:sz="0" w:space="0" w:color="auto"/>
                                  </w:divBdr>
                                  <w:divsChild>
                                    <w:div w:id="1259944917">
                                      <w:marLeft w:val="0"/>
                                      <w:marRight w:val="0"/>
                                      <w:marTop w:val="0"/>
                                      <w:marBottom w:val="0"/>
                                      <w:divBdr>
                                        <w:top w:val="none" w:sz="0" w:space="0" w:color="auto"/>
                                        <w:left w:val="none" w:sz="0" w:space="0" w:color="auto"/>
                                        <w:bottom w:val="none" w:sz="0" w:space="0" w:color="auto"/>
                                        <w:right w:val="none" w:sz="0" w:space="0" w:color="auto"/>
                                      </w:divBdr>
                                      <w:divsChild>
                                        <w:div w:id="549878030">
                                          <w:marLeft w:val="0"/>
                                          <w:marRight w:val="0"/>
                                          <w:marTop w:val="0"/>
                                          <w:marBottom w:val="0"/>
                                          <w:divBdr>
                                            <w:top w:val="none" w:sz="0" w:space="0" w:color="auto"/>
                                            <w:left w:val="none" w:sz="0" w:space="0" w:color="auto"/>
                                            <w:bottom w:val="none" w:sz="0" w:space="0" w:color="auto"/>
                                            <w:right w:val="none" w:sz="0" w:space="0" w:color="auto"/>
                                          </w:divBdr>
                                          <w:divsChild>
                                            <w:div w:id="1332641471">
                                              <w:marLeft w:val="0"/>
                                              <w:marRight w:val="0"/>
                                              <w:marTop w:val="0"/>
                                              <w:marBottom w:val="0"/>
                                              <w:divBdr>
                                                <w:top w:val="none" w:sz="0" w:space="0" w:color="auto"/>
                                                <w:left w:val="none" w:sz="0" w:space="0" w:color="auto"/>
                                                <w:bottom w:val="none" w:sz="0" w:space="0" w:color="auto"/>
                                                <w:right w:val="none" w:sz="0" w:space="0" w:color="auto"/>
                                              </w:divBdr>
                                              <w:divsChild>
                                                <w:div w:id="949510720">
                                                  <w:marLeft w:val="0"/>
                                                  <w:marRight w:val="0"/>
                                                  <w:marTop w:val="0"/>
                                                  <w:marBottom w:val="0"/>
                                                  <w:divBdr>
                                                    <w:top w:val="none" w:sz="0" w:space="0" w:color="auto"/>
                                                    <w:left w:val="none" w:sz="0" w:space="0" w:color="auto"/>
                                                    <w:bottom w:val="none" w:sz="0" w:space="0" w:color="auto"/>
                                                    <w:right w:val="none" w:sz="0" w:space="0" w:color="auto"/>
                                                  </w:divBdr>
                                                  <w:divsChild>
                                                    <w:div w:id="828179164">
                                                      <w:marLeft w:val="0"/>
                                                      <w:marRight w:val="0"/>
                                                      <w:marTop w:val="0"/>
                                                      <w:marBottom w:val="0"/>
                                                      <w:divBdr>
                                                        <w:top w:val="none" w:sz="0" w:space="0" w:color="auto"/>
                                                        <w:left w:val="none" w:sz="0" w:space="0" w:color="auto"/>
                                                        <w:bottom w:val="none" w:sz="0" w:space="0" w:color="auto"/>
                                                        <w:right w:val="none" w:sz="0" w:space="0" w:color="auto"/>
                                                      </w:divBdr>
                                                      <w:divsChild>
                                                        <w:div w:id="92481803">
                                                          <w:marLeft w:val="-240"/>
                                                          <w:marRight w:val="0"/>
                                                          <w:marTop w:val="0"/>
                                                          <w:marBottom w:val="0"/>
                                                          <w:divBdr>
                                                            <w:top w:val="none" w:sz="0" w:space="0" w:color="auto"/>
                                                            <w:left w:val="none" w:sz="0" w:space="0" w:color="auto"/>
                                                            <w:bottom w:val="none" w:sz="0" w:space="0" w:color="auto"/>
                                                            <w:right w:val="none" w:sz="0" w:space="0" w:color="auto"/>
                                                          </w:divBdr>
                                                          <w:divsChild>
                                                            <w:div w:id="616373634">
                                                              <w:marLeft w:val="0"/>
                                                              <w:marRight w:val="0"/>
                                                              <w:marTop w:val="0"/>
                                                              <w:marBottom w:val="225"/>
                                                              <w:divBdr>
                                                                <w:top w:val="none" w:sz="0" w:space="0" w:color="auto"/>
                                                                <w:left w:val="none" w:sz="0" w:space="0" w:color="auto"/>
                                                                <w:bottom w:val="none" w:sz="0" w:space="0" w:color="auto"/>
                                                                <w:right w:val="none" w:sz="0" w:space="0" w:color="auto"/>
                                                              </w:divBdr>
                                                              <w:divsChild>
                                                                <w:div w:id="1531721149">
                                                                  <w:marLeft w:val="0"/>
                                                                  <w:marRight w:val="0"/>
                                                                  <w:marTop w:val="0"/>
                                                                  <w:marBottom w:val="0"/>
                                                                  <w:divBdr>
                                                                    <w:top w:val="none" w:sz="0" w:space="0" w:color="auto"/>
                                                                    <w:left w:val="none" w:sz="0" w:space="0" w:color="auto"/>
                                                                    <w:bottom w:val="none" w:sz="0" w:space="0" w:color="auto"/>
                                                                    <w:right w:val="none" w:sz="0" w:space="0" w:color="auto"/>
                                                                  </w:divBdr>
                                                                  <w:divsChild>
                                                                    <w:div w:id="53552229">
                                                                      <w:marLeft w:val="0"/>
                                                                      <w:marRight w:val="0"/>
                                                                      <w:marTop w:val="0"/>
                                                                      <w:marBottom w:val="0"/>
                                                                      <w:divBdr>
                                                                        <w:top w:val="none" w:sz="0" w:space="0" w:color="auto"/>
                                                                        <w:left w:val="none" w:sz="0" w:space="0" w:color="auto"/>
                                                                        <w:bottom w:val="none" w:sz="0" w:space="0" w:color="auto"/>
                                                                        <w:right w:val="none" w:sz="0" w:space="0" w:color="auto"/>
                                                                      </w:divBdr>
                                                                      <w:divsChild>
                                                                        <w:div w:id="1943106058">
                                                                          <w:marLeft w:val="0"/>
                                                                          <w:marRight w:val="0"/>
                                                                          <w:marTop w:val="0"/>
                                                                          <w:marBottom w:val="0"/>
                                                                          <w:divBdr>
                                                                            <w:top w:val="none" w:sz="0" w:space="0" w:color="auto"/>
                                                                            <w:left w:val="none" w:sz="0" w:space="0" w:color="auto"/>
                                                                            <w:bottom w:val="none" w:sz="0" w:space="0" w:color="auto"/>
                                                                            <w:right w:val="none" w:sz="0" w:space="0" w:color="auto"/>
                                                                          </w:divBdr>
                                                                          <w:divsChild>
                                                                            <w:div w:id="1042559793">
                                                                              <w:marLeft w:val="0"/>
                                                                              <w:marRight w:val="0"/>
                                                                              <w:marTop w:val="0"/>
                                                                              <w:marBottom w:val="0"/>
                                                                              <w:divBdr>
                                                                                <w:top w:val="none" w:sz="0" w:space="0" w:color="auto"/>
                                                                                <w:left w:val="none" w:sz="0" w:space="0" w:color="auto"/>
                                                                                <w:bottom w:val="none" w:sz="0" w:space="0" w:color="auto"/>
                                                                                <w:right w:val="none" w:sz="0" w:space="0" w:color="auto"/>
                                                                              </w:divBdr>
                                                                              <w:divsChild>
                                                                                <w:div w:id="819808906">
                                                                                  <w:marLeft w:val="0"/>
                                                                                  <w:marRight w:val="0"/>
                                                                                  <w:marTop w:val="0"/>
                                                                                  <w:marBottom w:val="0"/>
                                                                                  <w:divBdr>
                                                                                    <w:top w:val="none" w:sz="0" w:space="0" w:color="auto"/>
                                                                                    <w:left w:val="none" w:sz="0" w:space="0" w:color="auto"/>
                                                                                    <w:bottom w:val="none" w:sz="0" w:space="0" w:color="auto"/>
                                                                                    <w:right w:val="none" w:sz="0" w:space="0" w:color="auto"/>
                                                                                  </w:divBdr>
                                                                                </w:div>
                                                                              </w:divsChild>
                                                                            </w:div>
                                                                            <w:div w:id="1935042994">
                                                                              <w:marLeft w:val="1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0298">
                                                          <w:marLeft w:val="0"/>
                                                          <w:marRight w:val="0"/>
                                                          <w:marTop w:val="0"/>
                                                          <w:marBottom w:val="45"/>
                                                          <w:divBdr>
                                                            <w:top w:val="none" w:sz="0" w:space="0" w:color="auto"/>
                                                            <w:left w:val="none" w:sz="0" w:space="0" w:color="auto"/>
                                                            <w:bottom w:val="none" w:sz="0" w:space="0" w:color="auto"/>
                                                            <w:right w:val="none" w:sz="0" w:space="0" w:color="auto"/>
                                                          </w:divBdr>
                                                          <w:divsChild>
                                                            <w:div w:id="1992251908">
                                                              <w:marLeft w:val="0"/>
                                                              <w:marRight w:val="0"/>
                                                              <w:marTop w:val="0"/>
                                                              <w:marBottom w:val="0"/>
                                                              <w:divBdr>
                                                                <w:top w:val="none" w:sz="0" w:space="0" w:color="auto"/>
                                                                <w:left w:val="none" w:sz="0" w:space="0" w:color="auto"/>
                                                                <w:bottom w:val="none" w:sz="0" w:space="0" w:color="auto"/>
                                                                <w:right w:val="none" w:sz="0" w:space="0" w:color="auto"/>
                                                              </w:divBdr>
                                                              <w:divsChild>
                                                                <w:div w:id="13488336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778095">
      <w:bodyDiv w:val="1"/>
      <w:marLeft w:val="0"/>
      <w:marRight w:val="0"/>
      <w:marTop w:val="0"/>
      <w:marBottom w:val="0"/>
      <w:divBdr>
        <w:top w:val="none" w:sz="0" w:space="0" w:color="auto"/>
        <w:left w:val="none" w:sz="0" w:space="0" w:color="auto"/>
        <w:bottom w:val="none" w:sz="0" w:space="0" w:color="auto"/>
        <w:right w:val="none" w:sz="0" w:space="0" w:color="auto"/>
      </w:divBdr>
      <w:divsChild>
        <w:div w:id="873732228">
          <w:marLeft w:val="0"/>
          <w:marRight w:val="0"/>
          <w:marTop w:val="180"/>
          <w:marBottom w:val="150"/>
          <w:divBdr>
            <w:top w:val="none" w:sz="0" w:space="0" w:color="auto"/>
            <w:left w:val="none" w:sz="0" w:space="0" w:color="auto"/>
            <w:bottom w:val="none" w:sz="0" w:space="0" w:color="auto"/>
            <w:right w:val="none" w:sz="0" w:space="0" w:color="auto"/>
          </w:divBdr>
          <w:divsChild>
            <w:div w:id="1011376523">
              <w:marLeft w:val="0"/>
              <w:marRight w:val="0"/>
              <w:marTop w:val="105"/>
              <w:marBottom w:val="0"/>
              <w:divBdr>
                <w:top w:val="none" w:sz="0" w:space="0" w:color="auto"/>
                <w:left w:val="none" w:sz="0" w:space="0" w:color="auto"/>
                <w:bottom w:val="none" w:sz="0" w:space="0" w:color="auto"/>
                <w:right w:val="none" w:sz="0" w:space="0" w:color="auto"/>
              </w:divBdr>
              <w:divsChild>
                <w:div w:id="40058691">
                  <w:marLeft w:val="0"/>
                  <w:marRight w:val="0"/>
                  <w:marTop w:val="0"/>
                  <w:marBottom w:val="0"/>
                  <w:divBdr>
                    <w:top w:val="none" w:sz="0" w:space="0" w:color="auto"/>
                    <w:left w:val="none" w:sz="0" w:space="0" w:color="auto"/>
                    <w:bottom w:val="none" w:sz="0" w:space="0" w:color="auto"/>
                    <w:right w:val="none" w:sz="0" w:space="0" w:color="auto"/>
                  </w:divBdr>
                </w:div>
                <w:div w:id="221524193">
                  <w:marLeft w:val="0"/>
                  <w:marRight w:val="0"/>
                  <w:marTop w:val="0"/>
                  <w:marBottom w:val="0"/>
                  <w:divBdr>
                    <w:top w:val="none" w:sz="0" w:space="0" w:color="auto"/>
                    <w:left w:val="none" w:sz="0" w:space="0" w:color="auto"/>
                    <w:bottom w:val="none" w:sz="0" w:space="0" w:color="auto"/>
                    <w:right w:val="none" w:sz="0" w:space="0" w:color="auto"/>
                  </w:divBdr>
                  <w:divsChild>
                    <w:div w:id="2034184526">
                      <w:marLeft w:val="0"/>
                      <w:marRight w:val="0"/>
                      <w:marTop w:val="0"/>
                      <w:marBottom w:val="0"/>
                      <w:divBdr>
                        <w:top w:val="none" w:sz="0" w:space="0" w:color="auto"/>
                        <w:left w:val="none" w:sz="0" w:space="0" w:color="auto"/>
                        <w:bottom w:val="none" w:sz="0" w:space="0" w:color="auto"/>
                        <w:right w:val="none" w:sz="0" w:space="0" w:color="auto"/>
                      </w:divBdr>
                      <w:divsChild>
                        <w:div w:id="20223895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019666">
      <w:bodyDiv w:val="1"/>
      <w:marLeft w:val="0"/>
      <w:marRight w:val="0"/>
      <w:marTop w:val="0"/>
      <w:marBottom w:val="0"/>
      <w:divBdr>
        <w:top w:val="none" w:sz="0" w:space="0" w:color="auto"/>
        <w:left w:val="none" w:sz="0" w:space="0" w:color="auto"/>
        <w:bottom w:val="none" w:sz="0" w:space="0" w:color="auto"/>
        <w:right w:val="none" w:sz="0" w:space="0" w:color="auto"/>
      </w:divBdr>
    </w:div>
    <w:div w:id="288362852">
      <w:bodyDiv w:val="1"/>
      <w:marLeft w:val="0"/>
      <w:marRight w:val="0"/>
      <w:marTop w:val="0"/>
      <w:marBottom w:val="0"/>
      <w:divBdr>
        <w:top w:val="none" w:sz="0" w:space="0" w:color="auto"/>
        <w:left w:val="none" w:sz="0" w:space="0" w:color="auto"/>
        <w:bottom w:val="none" w:sz="0" w:space="0" w:color="auto"/>
        <w:right w:val="none" w:sz="0" w:space="0" w:color="auto"/>
      </w:divBdr>
      <w:divsChild>
        <w:div w:id="1076244313">
          <w:marLeft w:val="0"/>
          <w:marRight w:val="0"/>
          <w:marTop w:val="0"/>
          <w:marBottom w:val="0"/>
          <w:divBdr>
            <w:top w:val="none" w:sz="0" w:space="0" w:color="auto"/>
            <w:left w:val="none" w:sz="0" w:space="0" w:color="auto"/>
            <w:bottom w:val="none" w:sz="0" w:space="0" w:color="auto"/>
            <w:right w:val="none" w:sz="0" w:space="0" w:color="auto"/>
          </w:divBdr>
          <w:divsChild>
            <w:div w:id="2042125670">
              <w:marLeft w:val="0"/>
              <w:marRight w:val="0"/>
              <w:marTop w:val="0"/>
              <w:marBottom w:val="0"/>
              <w:divBdr>
                <w:top w:val="none" w:sz="0" w:space="0" w:color="auto"/>
                <w:left w:val="none" w:sz="0" w:space="0" w:color="auto"/>
                <w:bottom w:val="none" w:sz="0" w:space="0" w:color="auto"/>
                <w:right w:val="none" w:sz="0" w:space="0" w:color="auto"/>
              </w:divBdr>
              <w:divsChild>
                <w:div w:id="13971639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8586040">
      <w:bodyDiv w:val="1"/>
      <w:marLeft w:val="0"/>
      <w:marRight w:val="0"/>
      <w:marTop w:val="0"/>
      <w:marBottom w:val="0"/>
      <w:divBdr>
        <w:top w:val="none" w:sz="0" w:space="0" w:color="auto"/>
        <w:left w:val="none" w:sz="0" w:space="0" w:color="auto"/>
        <w:bottom w:val="none" w:sz="0" w:space="0" w:color="auto"/>
        <w:right w:val="none" w:sz="0" w:space="0" w:color="auto"/>
      </w:divBdr>
    </w:div>
    <w:div w:id="339894997">
      <w:bodyDiv w:val="1"/>
      <w:marLeft w:val="0"/>
      <w:marRight w:val="0"/>
      <w:marTop w:val="0"/>
      <w:marBottom w:val="0"/>
      <w:divBdr>
        <w:top w:val="none" w:sz="0" w:space="0" w:color="auto"/>
        <w:left w:val="none" w:sz="0" w:space="0" w:color="auto"/>
        <w:bottom w:val="none" w:sz="0" w:space="0" w:color="auto"/>
        <w:right w:val="none" w:sz="0" w:space="0" w:color="auto"/>
      </w:divBdr>
    </w:div>
    <w:div w:id="345447641">
      <w:bodyDiv w:val="1"/>
      <w:marLeft w:val="0"/>
      <w:marRight w:val="0"/>
      <w:marTop w:val="0"/>
      <w:marBottom w:val="0"/>
      <w:divBdr>
        <w:top w:val="none" w:sz="0" w:space="0" w:color="auto"/>
        <w:left w:val="none" w:sz="0" w:space="0" w:color="auto"/>
        <w:bottom w:val="none" w:sz="0" w:space="0" w:color="auto"/>
        <w:right w:val="none" w:sz="0" w:space="0" w:color="auto"/>
      </w:divBdr>
    </w:div>
    <w:div w:id="395201108">
      <w:bodyDiv w:val="1"/>
      <w:marLeft w:val="0"/>
      <w:marRight w:val="0"/>
      <w:marTop w:val="0"/>
      <w:marBottom w:val="0"/>
      <w:divBdr>
        <w:top w:val="none" w:sz="0" w:space="0" w:color="auto"/>
        <w:left w:val="none" w:sz="0" w:space="0" w:color="auto"/>
        <w:bottom w:val="none" w:sz="0" w:space="0" w:color="auto"/>
        <w:right w:val="none" w:sz="0" w:space="0" w:color="auto"/>
      </w:divBdr>
    </w:div>
    <w:div w:id="410322273">
      <w:bodyDiv w:val="1"/>
      <w:marLeft w:val="0"/>
      <w:marRight w:val="0"/>
      <w:marTop w:val="0"/>
      <w:marBottom w:val="0"/>
      <w:divBdr>
        <w:top w:val="none" w:sz="0" w:space="0" w:color="auto"/>
        <w:left w:val="none" w:sz="0" w:space="0" w:color="auto"/>
        <w:bottom w:val="none" w:sz="0" w:space="0" w:color="auto"/>
        <w:right w:val="none" w:sz="0" w:space="0" w:color="auto"/>
      </w:divBdr>
    </w:div>
    <w:div w:id="411006721">
      <w:bodyDiv w:val="1"/>
      <w:marLeft w:val="0"/>
      <w:marRight w:val="0"/>
      <w:marTop w:val="0"/>
      <w:marBottom w:val="0"/>
      <w:divBdr>
        <w:top w:val="none" w:sz="0" w:space="0" w:color="auto"/>
        <w:left w:val="none" w:sz="0" w:space="0" w:color="auto"/>
        <w:bottom w:val="none" w:sz="0" w:space="0" w:color="auto"/>
        <w:right w:val="none" w:sz="0" w:space="0" w:color="auto"/>
      </w:divBdr>
    </w:div>
    <w:div w:id="420296989">
      <w:bodyDiv w:val="1"/>
      <w:marLeft w:val="0"/>
      <w:marRight w:val="0"/>
      <w:marTop w:val="0"/>
      <w:marBottom w:val="0"/>
      <w:divBdr>
        <w:top w:val="none" w:sz="0" w:space="0" w:color="auto"/>
        <w:left w:val="none" w:sz="0" w:space="0" w:color="auto"/>
        <w:bottom w:val="none" w:sz="0" w:space="0" w:color="auto"/>
        <w:right w:val="none" w:sz="0" w:space="0" w:color="auto"/>
      </w:divBdr>
    </w:div>
    <w:div w:id="441724125">
      <w:bodyDiv w:val="1"/>
      <w:marLeft w:val="0"/>
      <w:marRight w:val="0"/>
      <w:marTop w:val="0"/>
      <w:marBottom w:val="0"/>
      <w:divBdr>
        <w:top w:val="none" w:sz="0" w:space="0" w:color="auto"/>
        <w:left w:val="none" w:sz="0" w:space="0" w:color="auto"/>
        <w:bottom w:val="none" w:sz="0" w:space="0" w:color="auto"/>
        <w:right w:val="none" w:sz="0" w:space="0" w:color="auto"/>
      </w:divBdr>
    </w:div>
    <w:div w:id="444153379">
      <w:bodyDiv w:val="1"/>
      <w:marLeft w:val="0"/>
      <w:marRight w:val="0"/>
      <w:marTop w:val="0"/>
      <w:marBottom w:val="0"/>
      <w:divBdr>
        <w:top w:val="none" w:sz="0" w:space="0" w:color="auto"/>
        <w:left w:val="none" w:sz="0" w:space="0" w:color="auto"/>
        <w:bottom w:val="none" w:sz="0" w:space="0" w:color="auto"/>
        <w:right w:val="none" w:sz="0" w:space="0" w:color="auto"/>
      </w:divBdr>
    </w:div>
    <w:div w:id="454561758">
      <w:bodyDiv w:val="1"/>
      <w:marLeft w:val="0"/>
      <w:marRight w:val="0"/>
      <w:marTop w:val="100"/>
      <w:marBottom w:val="100"/>
      <w:divBdr>
        <w:top w:val="none" w:sz="0" w:space="0" w:color="auto"/>
        <w:left w:val="none" w:sz="0" w:space="0" w:color="auto"/>
        <w:bottom w:val="none" w:sz="0" w:space="0" w:color="auto"/>
        <w:right w:val="none" w:sz="0" w:space="0" w:color="auto"/>
      </w:divBdr>
      <w:divsChild>
        <w:div w:id="296954673">
          <w:marLeft w:val="0"/>
          <w:marRight w:val="0"/>
          <w:marTop w:val="0"/>
          <w:marBottom w:val="300"/>
          <w:divBdr>
            <w:top w:val="single" w:sz="2" w:space="0" w:color="B0B0B0"/>
            <w:left w:val="single" w:sz="2" w:space="0" w:color="B0B0B0"/>
            <w:bottom w:val="single" w:sz="2" w:space="0" w:color="B0B0B0"/>
            <w:right w:val="single" w:sz="2" w:space="0" w:color="B0B0B0"/>
          </w:divBdr>
          <w:divsChild>
            <w:div w:id="1256208922">
              <w:marLeft w:val="0"/>
              <w:marRight w:val="0"/>
              <w:marTop w:val="0"/>
              <w:marBottom w:val="0"/>
              <w:divBdr>
                <w:top w:val="none" w:sz="0" w:space="0" w:color="auto"/>
                <w:left w:val="none" w:sz="0" w:space="0" w:color="auto"/>
                <w:bottom w:val="none" w:sz="0" w:space="0" w:color="auto"/>
                <w:right w:val="none" w:sz="0" w:space="0" w:color="auto"/>
              </w:divBdr>
              <w:divsChild>
                <w:div w:id="1495220847">
                  <w:marLeft w:val="0"/>
                  <w:marRight w:val="0"/>
                  <w:marTop w:val="0"/>
                  <w:marBottom w:val="0"/>
                  <w:divBdr>
                    <w:top w:val="none" w:sz="0" w:space="0" w:color="auto"/>
                    <w:left w:val="none" w:sz="0" w:space="0" w:color="auto"/>
                    <w:bottom w:val="none" w:sz="0" w:space="0" w:color="auto"/>
                    <w:right w:val="none" w:sz="0" w:space="0" w:color="auto"/>
                  </w:divBdr>
                  <w:divsChild>
                    <w:div w:id="68816285">
                      <w:marLeft w:val="0"/>
                      <w:marRight w:val="0"/>
                      <w:marTop w:val="0"/>
                      <w:marBottom w:val="0"/>
                      <w:divBdr>
                        <w:top w:val="none" w:sz="0" w:space="0" w:color="auto"/>
                        <w:left w:val="none" w:sz="0" w:space="0" w:color="auto"/>
                        <w:bottom w:val="none" w:sz="0" w:space="0" w:color="auto"/>
                        <w:right w:val="none" w:sz="0" w:space="0" w:color="auto"/>
                      </w:divBdr>
                      <w:divsChild>
                        <w:div w:id="750927149">
                          <w:marLeft w:val="3225"/>
                          <w:marRight w:val="0"/>
                          <w:marTop w:val="0"/>
                          <w:marBottom w:val="0"/>
                          <w:divBdr>
                            <w:top w:val="none" w:sz="0" w:space="0" w:color="auto"/>
                            <w:left w:val="none" w:sz="0" w:space="0" w:color="auto"/>
                            <w:bottom w:val="none" w:sz="0" w:space="0" w:color="auto"/>
                            <w:right w:val="none" w:sz="0" w:space="0" w:color="auto"/>
                          </w:divBdr>
                          <w:divsChild>
                            <w:div w:id="1918974644">
                              <w:marLeft w:val="0"/>
                              <w:marRight w:val="0"/>
                              <w:marTop w:val="0"/>
                              <w:marBottom w:val="0"/>
                              <w:divBdr>
                                <w:top w:val="none" w:sz="0" w:space="0" w:color="auto"/>
                                <w:left w:val="none" w:sz="0" w:space="0" w:color="auto"/>
                                <w:bottom w:val="none" w:sz="0" w:space="0" w:color="auto"/>
                                <w:right w:val="none" w:sz="0" w:space="0" w:color="auto"/>
                              </w:divBdr>
                              <w:divsChild>
                                <w:div w:id="404299658">
                                  <w:marLeft w:val="0"/>
                                  <w:marRight w:val="0"/>
                                  <w:marTop w:val="0"/>
                                  <w:marBottom w:val="0"/>
                                  <w:divBdr>
                                    <w:top w:val="none" w:sz="0" w:space="0" w:color="auto"/>
                                    <w:left w:val="none" w:sz="0" w:space="0" w:color="auto"/>
                                    <w:bottom w:val="none" w:sz="0" w:space="0" w:color="auto"/>
                                    <w:right w:val="none" w:sz="0" w:space="0" w:color="auto"/>
                                  </w:divBdr>
                                  <w:divsChild>
                                    <w:div w:id="421030473">
                                      <w:marLeft w:val="0"/>
                                      <w:marRight w:val="0"/>
                                      <w:marTop w:val="0"/>
                                      <w:marBottom w:val="0"/>
                                      <w:divBdr>
                                        <w:top w:val="none" w:sz="0" w:space="0" w:color="auto"/>
                                        <w:left w:val="none" w:sz="0" w:space="0" w:color="auto"/>
                                        <w:bottom w:val="none" w:sz="0" w:space="0" w:color="auto"/>
                                        <w:right w:val="none" w:sz="0" w:space="0" w:color="auto"/>
                                      </w:divBdr>
                                      <w:divsChild>
                                        <w:div w:id="680009022">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0"/>
                                              <w:divBdr>
                                                <w:top w:val="none" w:sz="0" w:space="0" w:color="auto"/>
                                                <w:left w:val="none" w:sz="0" w:space="0" w:color="auto"/>
                                                <w:bottom w:val="none" w:sz="0" w:space="0" w:color="auto"/>
                                                <w:right w:val="none" w:sz="0" w:space="0" w:color="auto"/>
                                              </w:divBdr>
                                              <w:divsChild>
                                                <w:div w:id="164636065">
                                                  <w:marLeft w:val="0"/>
                                                  <w:marRight w:val="0"/>
                                                  <w:marTop w:val="0"/>
                                                  <w:marBottom w:val="0"/>
                                                  <w:divBdr>
                                                    <w:top w:val="none" w:sz="0" w:space="0" w:color="auto"/>
                                                    <w:left w:val="none" w:sz="0" w:space="0" w:color="auto"/>
                                                    <w:bottom w:val="none" w:sz="0" w:space="0" w:color="auto"/>
                                                    <w:right w:val="none" w:sz="0" w:space="0" w:color="auto"/>
                                                  </w:divBdr>
                                                </w:div>
                                                <w:div w:id="250510201">
                                                  <w:marLeft w:val="0"/>
                                                  <w:marRight w:val="0"/>
                                                  <w:marTop w:val="0"/>
                                                  <w:marBottom w:val="0"/>
                                                  <w:divBdr>
                                                    <w:top w:val="none" w:sz="0" w:space="0" w:color="auto"/>
                                                    <w:left w:val="none" w:sz="0" w:space="0" w:color="auto"/>
                                                    <w:bottom w:val="none" w:sz="0" w:space="0" w:color="auto"/>
                                                    <w:right w:val="none" w:sz="0" w:space="0" w:color="auto"/>
                                                  </w:divBdr>
                                                </w:div>
                                                <w:div w:id="549924407">
                                                  <w:marLeft w:val="0"/>
                                                  <w:marRight w:val="0"/>
                                                  <w:marTop w:val="0"/>
                                                  <w:marBottom w:val="0"/>
                                                  <w:divBdr>
                                                    <w:top w:val="none" w:sz="0" w:space="0" w:color="auto"/>
                                                    <w:left w:val="none" w:sz="0" w:space="0" w:color="auto"/>
                                                    <w:bottom w:val="none" w:sz="0" w:space="0" w:color="auto"/>
                                                    <w:right w:val="none" w:sz="0" w:space="0" w:color="auto"/>
                                                  </w:divBdr>
                                                </w:div>
                                                <w:div w:id="621310040">
                                                  <w:marLeft w:val="0"/>
                                                  <w:marRight w:val="0"/>
                                                  <w:marTop w:val="0"/>
                                                  <w:marBottom w:val="0"/>
                                                  <w:divBdr>
                                                    <w:top w:val="none" w:sz="0" w:space="0" w:color="auto"/>
                                                    <w:left w:val="none" w:sz="0" w:space="0" w:color="auto"/>
                                                    <w:bottom w:val="none" w:sz="0" w:space="0" w:color="auto"/>
                                                    <w:right w:val="none" w:sz="0" w:space="0" w:color="auto"/>
                                                  </w:divBdr>
                                                </w:div>
                                                <w:div w:id="89115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685908">
      <w:bodyDiv w:val="1"/>
      <w:marLeft w:val="0"/>
      <w:marRight w:val="0"/>
      <w:marTop w:val="0"/>
      <w:marBottom w:val="0"/>
      <w:divBdr>
        <w:top w:val="none" w:sz="0" w:space="0" w:color="auto"/>
        <w:left w:val="none" w:sz="0" w:space="0" w:color="auto"/>
        <w:bottom w:val="none" w:sz="0" w:space="0" w:color="auto"/>
        <w:right w:val="none" w:sz="0" w:space="0" w:color="auto"/>
      </w:divBdr>
      <w:divsChild>
        <w:div w:id="143548503">
          <w:marLeft w:val="0"/>
          <w:marRight w:val="0"/>
          <w:marTop w:val="0"/>
          <w:marBottom w:val="0"/>
          <w:divBdr>
            <w:top w:val="none" w:sz="0" w:space="0" w:color="auto"/>
            <w:left w:val="none" w:sz="0" w:space="0" w:color="auto"/>
            <w:bottom w:val="none" w:sz="0" w:space="0" w:color="auto"/>
            <w:right w:val="none" w:sz="0" w:space="0" w:color="auto"/>
          </w:divBdr>
          <w:divsChild>
            <w:div w:id="120016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7856">
      <w:bodyDiv w:val="1"/>
      <w:marLeft w:val="0"/>
      <w:marRight w:val="0"/>
      <w:marTop w:val="0"/>
      <w:marBottom w:val="0"/>
      <w:divBdr>
        <w:top w:val="none" w:sz="0" w:space="0" w:color="auto"/>
        <w:left w:val="none" w:sz="0" w:space="0" w:color="auto"/>
        <w:bottom w:val="none" w:sz="0" w:space="0" w:color="auto"/>
        <w:right w:val="none" w:sz="0" w:space="0" w:color="auto"/>
      </w:divBdr>
    </w:div>
    <w:div w:id="525561248">
      <w:bodyDiv w:val="1"/>
      <w:marLeft w:val="0"/>
      <w:marRight w:val="0"/>
      <w:marTop w:val="0"/>
      <w:marBottom w:val="0"/>
      <w:divBdr>
        <w:top w:val="none" w:sz="0" w:space="0" w:color="auto"/>
        <w:left w:val="none" w:sz="0" w:space="0" w:color="auto"/>
        <w:bottom w:val="none" w:sz="0" w:space="0" w:color="auto"/>
        <w:right w:val="none" w:sz="0" w:space="0" w:color="auto"/>
      </w:divBdr>
      <w:divsChild>
        <w:div w:id="1925265543">
          <w:marLeft w:val="0"/>
          <w:marRight w:val="0"/>
          <w:marTop w:val="0"/>
          <w:marBottom w:val="0"/>
          <w:divBdr>
            <w:top w:val="none" w:sz="0" w:space="0" w:color="auto"/>
            <w:left w:val="none" w:sz="0" w:space="0" w:color="auto"/>
            <w:bottom w:val="none" w:sz="0" w:space="0" w:color="auto"/>
            <w:right w:val="none" w:sz="0" w:space="0" w:color="auto"/>
          </w:divBdr>
          <w:divsChild>
            <w:div w:id="3740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33066">
      <w:bodyDiv w:val="1"/>
      <w:marLeft w:val="0"/>
      <w:marRight w:val="0"/>
      <w:marTop w:val="0"/>
      <w:marBottom w:val="0"/>
      <w:divBdr>
        <w:top w:val="none" w:sz="0" w:space="0" w:color="auto"/>
        <w:left w:val="none" w:sz="0" w:space="0" w:color="auto"/>
        <w:bottom w:val="none" w:sz="0" w:space="0" w:color="auto"/>
        <w:right w:val="none" w:sz="0" w:space="0" w:color="auto"/>
      </w:divBdr>
    </w:div>
    <w:div w:id="545456170">
      <w:bodyDiv w:val="1"/>
      <w:marLeft w:val="0"/>
      <w:marRight w:val="0"/>
      <w:marTop w:val="0"/>
      <w:marBottom w:val="0"/>
      <w:divBdr>
        <w:top w:val="none" w:sz="0" w:space="0" w:color="auto"/>
        <w:left w:val="none" w:sz="0" w:space="0" w:color="auto"/>
        <w:bottom w:val="none" w:sz="0" w:space="0" w:color="auto"/>
        <w:right w:val="none" w:sz="0" w:space="0" w:color="auto"/>
      </w:divBdr>
    </w:div>
    <w:div w:id="556622205">
      <w:bodyDiv w:val="1"/>
      <w:marLeft w:val="0"/>
      <w:marRight w:val="0"/>
      <w:marTop w:val="0"/>
      <w:marBottom w:val="0"/>
      <w:divBdr>
        <w:top w:val="none" w:sz="0" w:space="0" w:color="auto"/>
        <w:left w:val="none" w:sz="0" w:space="0" w:color="auto"/>
        <w:bottom w:val="none" w:sz="0" w:space="0" w:color="auto"/>
        <w:right w:val="none" w:sz="0" w:space="0" w:color="auto"/>
      </w:divBdr>
    </w:div>
    <w:div w:id="643433524">
      <w:bodyDiv w:val="1"/>
      <w:marLeft w:val="0"/>
      <w:marRight w:val="0"/>
      <w:marTop w:val="0"/>
      <w:marBottom w:val="0"/>
      <w:divBdr>
        <w:top w:val="none" w:sz="0" w:space="0" w:color="auto"/>
        <w:left w:val="none" w:sz="0" w:space="0" w:color="auto"/>
        <w:bottom w:val="none" w:sz="0" w:space="0" w:color="auto"/>
        <w:right w:val="none" w:sz="0" w:space="0" w:color="auto"/>
      </w:divBdr>
    </w:div>
    <w:div w:id="695544092">
      <w:bodyDiv w:val="1"/>
      <w:marLeft w:val="0"/>
      <w:marRight w:val="0"/>
      <w:marTop w:val="0"/>
      <w:marBottom w:val="0"/>
      <w:divBdr>
        <w:top w:val="none" w:sz="0" w:space="0" w:color="auto"/>
        <w:left w:val="none" w:sz="0" w:space="0" w:color="auto"/>
        <w:bottom w:val="none" w:sz="0" w:space="0" w:color="auto"/>
        <w:right w:val="none" w:sz="0" w:space="0" w:color="auto"/>
      </w:divBdr>
    </w:div>
    <w:div w:id="708378989">
      <w:bodyDiv w:val="1"/>
      <w:marLeft w:val="0"/>
      <w:marRight w:val="0"/>
      <w:marTop w:val="0"/>
      <w:marBottom w:val="0"/>
      <w:divBdr>
        <w:top w:val="none" w:sz="0" w:space="0" w:color="auto"/>
        <w:left w:val="none" w:sz="0" w:space="0" w:color="auto"/>
        <w:bottom w:val="none" w:sz="0" w:space="0" w:color="auto"/>
        <w:right w:val="none" w:sz="0" w:space="0" w:color="auto"/>
      </w:divBdr>
    </w:div>
    <w:div w:id="715198230">
      <w:bodyDiv w:val="1"/>
      <w:marLeft w:val="0"/>
      <w:marRight w:val="0"/>
      <w:marTop w:val="0"/>
      <w:marBottom w:val="0"/>
      <w:divBdr>
        <w:top w:val="none" w:sz="0" w:space="0" w:color="auto"/>
        <w:left w:val="none" w:sz="0" w:space="0" w:color="auto"/>
        <w:bottom w:val="none" w:sz="0" w:space="0" w:color="auto"/>
        <w:right w:val="none" w:sz="0" w:space="0" w:color="auto"/>
      </w:divBdr>
    </w:div>
    <w:div w:id="721976425">
      <w:bodyDiv w:val="1"/>
      <w:marLeft w:val="0"/>
      <w:marRight w:val="0"/>
      <w:marTop w:val="0"/>
      <w:marBottom w:val="0"/>
      <w:divBdr>
        <w:top w:val="none" w:sz="0" w:space="0" w:color="auto"/>
        <w:left w:val="none" w:sz="0" w:space="0" w:color="auto"/>
        <w:bottom w:val="none" w:sz="0" w:space="0" w:color="auto"/>
        <w:right w:val="none" w:sz="0" w:space="0" w:color="auto"/>
      </w:divBdr>
    </w:div>
    <w:div w:id="743068766">
      <w:bodyDiv w:val="1"/>
      <w:marLeft w:val="0"/>
      <w:marRight w:val="0"/>
      <w:marTop w:val="0"/>
      <w:marBottom w:val="0"/>
      <w:divBdr>
        <w:top w:val="none" w:sz="0" w:space="0" w:color="auto"/>
        <w:left w:val="none" w:sz="0" w:space="0" w:color="auto"/>
        <w:bottom w:val="none" w:sz="0" w:space="0" w:color="auto"/>
        <w:right w:val="none" w:sz="0" w:space="0" w:color="auto"/>
      </w:divBdr>
    </w:div>
    <w:div w:id="775834922">
      <w:bodyDiv w:val="1"/>
      <w:marLeft w:val="0"/>
      <w:marRight w:val="0"/>
      <w:marTop w:val="0"/>
      <w:marBottom w:val="0"/>
      <w:divBdr>
        <w:top w:val="none" w:sz="0" w:space="0" w:color="auto"/>
        <w:left w:val="none" w:sz="0" w:space="0" w:color="auto"/>
        <w:bottom w:val="none" w:sz="0" w:space="0" w:color="auto"/>
        <w:right w:val="none" w:sz="0" w:space="0" w:color="auto"/>
      </w:divBdr>
    </w:div>
    <w:div w:id="799807256">
      <w:bodyDiv w:val="1"/>
      <w:marLeft w:val="0"/>
      <w:marRight w:val="0"/>
      <w:marTop w:val="0"/>
      <w:marBottom w:val="0"/>
      <w:divBdr>
        <w:top w:val="none" w:sz="0" w:space="0" w:color="auto"/>
        <w:left w:val="none" w:sz="0" w:space="0" w:color="auto"/>
        <w:bottom w:val="none" w:sz="0" w:space="0" w:color="auto"/>
        <w:right w:val="none" w:sz="0" w:space="0" w:color="auto"/>
      </w:divBdr>
    </w:div>
    <w:div w:id="845679368">
      <w:bodyDiv w:val="1"/>
      <w:marLeft w:val="0"/>
      <w:marRight w:val="0"/>
      <w:marTop w:val="0"/>
      <w:marBottom w:val="0"/>
      <w:divBdr>
        <w:top w:val="none" w:sz="0" w:space="0" w:color="auto"/>
        <w:left w:val="none" w:sz="0" w:space="0" w:color="auto"/>
        <w:bottom w:val="none" w:sz="0" w:space="0" w:color="auto"/>
        <w:right w:val="none" w:sz="0" w:space="0" w:color="auto"/>
      </w:divBdr>
    </w:div>
    <w:div w:id="854658172">
      <w:bodyDiv w:val="1"/>
      <w:marLeft w:val="0"/>
      <w:marRight w:val="0"/>
      <w:marTop w:val="0"/>
      <w:marBottom w:val="0"/>
      <w:divBdr>
        <w:top w:val="none" w:sz="0" w:space="0" w:color="auto"/>
        <w:left w:val="none" w:sz="0" w:space="0" w:color="auto"/>
        <w:bottom w:val="none" w:sz="0" w:space="0" w:color="auto"/>
        <w:right w:val="none" w:sz="0" w:space="0" w:color="auto"/>
      </w:divBdr>
    </w:div>
    <w:div w:id="856774845">
      <w:bodyDiv w:val="1"/>
      <w:marLeft w:val="0"/>
      <w:marRight w:val="0"/>
      <w:marTop w:val="0"/>
      <w:marBottom w:val="0"/>
      <w:divBdr>
        <w:top w:val="none" w:sz="0" w:space="0" w:color="auto"/>
        <w:left w:val="none" w:sz="0" w:space="0" w:color="auto"/>
        <w:bottom w:val="none" w:sz="0" w:space="0" w:color="auto"/>
        <w:right w:val="none" w:sz="0" w:space="0" w:color="auto"/>
      </w:divBdr>
    </w:div>
    <w:div w:id="885874342">
      <w:bodyDiv w:val="1"/>
      <w:marLeft w:val="0"/>
      <w:marRight w:val="0"/>
      <w:marTop w:val="0"/>
      <w:marBottom w:val="0"/>
      <w:divBdr>
        <w:top w:val="none" w:sz="0" w:space="0" w:color="auto"/>
        <w:left w:val="none" w:sz="0" w:space="0" w:color="auto"/>
        <w:bottom w:val="none" w:sz="0" w:space="0" w:color="auto"/>
        <w:right w:val="none" w:sz="0" w:space="0" w:color="auto"/>
      </w:divBdr>
    </w:div>
    <w:div w:id="967979214">
      <w:bodyDiv w:val="1"/>
      <w:marLeft w:val="0"/>
      <w:marRight w:val="0"/>
      <w:marTop w:val="0"/>
      <w:marBottom w:val="0"/>
      <w:divBdr>
        <w:top w:val="none" w:sz="0" w:space="0" w:color="auto"/>
        <w:left w:val="none" w:sz="0" w:space="0" w:color="auto"/>
        <w:bottom w:val="none" w:sz="0" w:space="0" w:color="auto"/>
        <w:right w:val="none" w:sz="0" w:space="0" w:color="auto"/>
      </w:divBdr>
    </w:div>
    <w:div w:id="1007750801">
      <w:bodyDiv w:val="1"/>
      <w:marLeft w:val="0"/>
      <w:marRight w:val="0"/>
      <w:marTop w:val="0"/>
      <w:marBottom w:val="0"/>
      <w:divBdr>
        <w:top w:val="none" w:sz="0" w:space="0" w:color="auto"/>
        <w:left w:val="none" w:sz="0" w:space="0" w:color="auto"/>
        <w:bottom w:val="none" w:sz="0" w:space="0" w:color="auto"/>
        <w:right w:val="none" w:sz="0" w:space="0" w:color="auto"/>
      </w:divBdr>
    </w:div>
    <w:div w:id="1007824574">
      <w:bodyDiv w:val="1"/>
      <w:marLeft w:val="0"/>
      <w:marRight w:val="0"/>
      <w:marTop w:val="0"/>
      <w:marBottom w:val="0"/>
      <w:divBdr>
        <w:top w:val="none" w:sz="0" w:space="0" w:color="auto"/>
        <w:left w:val="none" w:sz="0" w:space="0" w:color="auto"/>
        <w:bottom w:val="none" w:sz="0" w:space="0" w:color="auto"/>
        <w:right w:val="none" w:sz="0" w:space="0" w:color="auto"/>
      </w:divBdr>
    </w:div>
    <w:div w:id="1071931938">
      <w:bodyDiv w:val="1"/>
      <w:marLeft w:val="0"/>
      <w:marRight w:val="0"/>
      <w:marTop w:val="0"/>
      <w:marBottom w:val="0"/>
      <w:divBdr>
        <w:top w:val="none" w:sz="0" w:space="0" w:color="auto"/>
        <w:left w:val="none" w:sz="0" w:space="0" w:color="auto"/>
        <w:bottom w:val="none" w:sz="0" w:space="0" w:color="auto"/>
        <w:right w:val="none" w:sz="0" w:space="0" w:color="auto"/>
      </w:divBdr>
    </w:div>
    <w:div w:id="1075128128">
      <w:bodyDiv w:val="1"/>
      <w:marLeft w:val="0"/>
      <w:marRight w:val="0"/>
      <w:marTop w:val="0"/>
      <w:marBottom w:val="0"/>
      <w:divBdr>
        <w:top w:val="none" w:sz="0" w:space="0" w:color="auto"/>
        <w:left w:val="none" w:sz="0" w:space="0" w:color="auto"/>
        <w:bottom w:val="none" w:sz="0" w:space="0" w:color="auto"/>
        <w:right w:val="none" w:sz="0" w:space="0" w:color="auto"/>
      </w:divBdr>
    </w:div>
    <w:div w:id="1078943520">
      <w:bodyDiv w:val="1"/>
      <w:marLeft w:val="0"/>
      <w:marRight w:val="0"/>
      <w:marTop w:val="0"/>
      <w:marBottom w:val="0"/>
      <w:divBdr>
        <w:top w:val="none" w:sz="0" w:space="0" w:color="auto"/>
        <w:left w:val="none" w:sz="0" w:space="0" w:color="auto"/>
        <w:bottom w:val="none" w:sz="0" w:space="0" w:color="auto"/>
        <w:right w:val="none" w:sz="0" w:space="0" w:color="auto"/>
      </w:divBdr>
    </w:div>
    <w:div w:id="1115179269">
      <w:bodyDiv w:val="1"/>
      <w:marLeft w:val="0"/>
      <w:marRight w:val="0"/>
      <w:marTop w:val="0"/>
      <w:marBottom w:val="0"/>
      <w:divBdr>
        <w:top w:val="none" w:sz="0" w:space="0" w:color="auto"/>
        <w:left w:val="none" w:sz="0" w:space="0" w:color="auto"/>
        <w:bottom w:val="none" w:sz="0" w:space="0" w:color="auto"/>
        <w:right w:val="none" w:sz="0" w:space="0" w:color="auto"/>
      </w:divBdr>
    </w:div>
    <w:div w:id="1158762914">
      <w:bodyDiv w:val="1"/>
      <w:marLeft w:val="0"/>
      <w:marRight w:val="0"/>
      <w:marTop w:val="0"/>
      <w:marBottom w:val="0"/>
      <w:divBdr>
        <w:top w:val="none" w:sz="0" w:space="0" w:color="auto"/>
        <w:left w:val="none" w:sz="0" w:space="0" w:color="auto"/>
        <w:bottom w:val="none" w:sz="0" w:space="0" w:color="auto"/>
        <w:right w:val="none" w:sz="0" w:space="0" w:color="auto"/>
      </w:divBdr>
    </w:div>
    <w:div w:id="1176656259">
      <w:bodyDiv w:val="1"/>
      <w:marLeft w:val="0"/>
      <w:marRight w:val="0"/>
      <w:marTop w:val="0"/>
      <w:marBottom w:val="0"/>
      <w:divBdr>
        <w:top w:val="none" w:sz="0" w:space="0" w:color="auto"/>
        <w:left w:val="none" w:sz="0" w:space="0" w:color="auto"/>
        <w:bottom w:val="none" w:sz="0" w:space="0" w:color="auto"/>
        <w:right w:val="none" w:sz="0" w:space="0" w:color="auto"/>
      </w:divBdr>
    </w:div>
    <w:div w:id="1223560600">
      <w:bodyDiv w:val="1"/>
      <w:marLeft w:val="0"/>
      <w:marRight w:val="0"/>
      <w:marTop w:val="0"/>
      <w:marBottom w:val="0"/>
      <w:divBdr>
        <w:top w:val="none" w:sz="0" w:space="0" w:color="auto"/>
        <w:left w:val="none" w:sz="0" w:space="0" w:color="auto"/>
        <w:bottom w:val="none" w:sz="0" w:space="0" w:color="auto"/>
        <w:right w:val="none" w:sz="0" w:space="0" w:color="auto"/>
      </w:divBdr>
      <w:divsChild>
        <w:div w:id="1202673018">
          <w:marLeft w:val="0"/>
          <w:marRight w:val="0"/>
          <w:marTop w:val="0"/>
          <w:marBottom w:val="0"/>
          <w:divBdr>
            <w:top w:val="none" w:sz="0" w:space="0" w:color="auto"/>
            <w:left w:val="none" w:sz="0" w:space="0" w:color="auto"/>
            <w:bottom w:val="none" w:sz="0" w:space="0" w:color="auto"/>
            <w:right w:val="none" w:sz="0" w:space="0" w:color="auto"/>
          </w:divBdr>
          <w:divsChild>
            <w:div w:id="1389259692">
              <w:marLeft w:val="0"/>
              <w:marRight w:val="0"/>
              <w:marTop w:val="0"/>
              <w:marBottom w:val="0"/>
              <w:divBdr>
                <w:top w:val="none" w:sz="0" w:space="0" w:color="auto"/>
                <w:left w:val="none" w:sz="0" w:space="0" w:color="auto"/>
                <w:bottom w:val="none" w:sz="0" w:space="0" w:color="auto"/>
                <w:right w:val="none" w:sz="0" w:space="0" w:color="auto"/>
              </w:divBdr>
              <w:divsChild>
                <w:div w:id="1220437418">
                  <w:marLeft w:val="0"/>
                  <w:marRight w:val="0"/>
                  <w:marTop w:val="0"/>
                  <w:marBottom w:val="0"/>
                  <w:divBdr>
                    <w:top w:val="none" w:sz="0" w:space="0" w:color="auto"/>
                    <w:left w:val="none" w:sz="0" w:space="0" w:color="auto"/>
                    <w:bottom w:val="none" w:sz="0" w:space="0" w:color="auto"/>
                    <w:right w:val="none" w:sz="0" w:space="0" w:color="auto"/>
                  </w:divBdr>
                  <w:divsChild>
                    <w:div w:id="133955686">
                      <w:marLeft w:val="0"/>
                      <w:marRight w:val="0"/>
                      <w:marTop w:val="100"/>
                      <w:marBottom w:val="100"/>
                      <w:divBdr>
                        <w:top w:val="none" w:sz="0" w:space="0" w:color="auto"/>
                        <w:left w:val="none" w:sz="0" w:space="0" w:color="auto"/>
                        <w:bottom w:val="none" w:sz="0" w:space="0" w:color="auto"/>
                        <w:right w:val="none" w:sz="0" w:space="0" w:color="auto"/>
                      </w:divBdr>
                      <w:divsChild>
                        <w:div w:id="1833372112">
                          <w:marLeft w:val="0"/>
                          <w:marRight w:val="0"/>
                          <w:marTop w:val="0"/>
                          <w:marBottom w:val="0"/>
                          <w:divBdr>
                            <w:top w:val="none" w:sz="0" w:space="0" w:color="auto"/>
                            <w:left w:val="none" w:sz="0" w:space="0" w:color="auto"/>
                            <w:bottom w:val="none" w:sz="0" w:space="0" w:color="auto"/>
                            <w:right w:val="none" w:sz="0" w:space="0" w:color="auto"/>
                          </w:divBdr>
                          <w:divsChild>
                            <w:div w:id="167839694">
                              <w:marLeft w:val="0"/>
                              <w:marRight w:val="0"/>
                              <w:marTop w:val="0"/>
                              <w:marBottom w:val="0"/>
                              <w:divBdr>
                                <w:top w:val="none" w:sz="0" w:space="0" w:color="auto"/>
                                <w:left w:val="none" w:sz="0" w:space="0" w:color="auto"/>
                                <w:bottom w:val="none" w:sz="0" w:space="0" w:color="auto"/>
                                <w:right w:val="none" w:sz="0" w:space="0" w:color="auto"/>
                              </w:divBdr>
                              <w:divsChild>
                                <w:div w:id="1240866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1246">
      <w:bodyDiv w:val="1"/>
      <w:marLeft w:val="0"/>
      <w:marRight w:val="0"/>
      <w:marTop w:val="0"/>
      <w:marBottom w:val="0"/>
      <w:divBdr>
        <w:top w:val="none" w:sz="0" w:space="0" w:color="auto"/>
        <w:left w:val="none" w:sz="0" w:space="0" w:color="auto"/>
        <w:bottom w:val="none" w:sz="0" w:space="0" w:color="auto"/>
        <w:right w:val="none" w:sz="0" w:space="0" w:color="auto"/>
      </w:divBdr>
    </w:div>
    <w:div w:id="1239632445">
      <w:bodyDiv w:val="1"/>
      <w:marLeft w:val="0"/>
      <w:marRight w:val="0"/>
      <w:marTop w:val="0"/>
      <w:marBottom w:val="0"/>
      <w:divBdr>
        <w:top w:val="none" w:sz="0" w:space="0" w:color="auto"/>
        <w:left w:val="none" w:sz="0" w:space="0" w:color="auto"/>
        <w:bottom w:val="none" w:sz="0" w:space="0" w:color="auto"/>
        <w:right w:val="none" w:sz="0" w:space="0" w:color="auto"/>
      </w:divBdr>
    </w:div>
    <w:div w:id="1239943324">
      <w:bodyDiv w:val="1"/>
      <w:marLeft w:val="0"/>
      <w:marRight w:val="0"/>
      <w:marTop w:val="0"/>
      <w:marBottom w:val="0"/>
      <w:divBdr>
        <w:top w:val="none" w:sz="0" w:space="0" w:color="auto"/>
        <w:left w:val="none" w:sz="0" w:space="0" w:color="auto"/>
        <w:bottom w:val="none" w:sz="0" w:space="0" w:color="auto"/>
        <w:right w:val="none" w:sz="0" w:space="0" w:color="auto"/>
      </w:divBdr>
    </w:div>
    <w:div w:id="1241404412">
      <w:bodyDiv w:val="1"/>
      <w:marLeft w:val="0"/>
      <w:marRight w:val="0"/>
      <w:marTop w:val="0"/>
      <w:marBottom w:val="0"/>
      <w:divBdr>
        <w:top w:val="none" w:sz="0" w:space="0" w:color="auto"/>
        <w:left w:val="none" w:sz="0" w:space="0" w:color="auto"/>
        <w:bottom w:val="none" w:sz="0" w:space="0" w:color="auto"/>
        <w:right w:val="none" w:sz="0" w:space="0" w:color="auto"/>
      </w:divBdr>
    </w:div>
    <w:div w:id="1265848476">
      <w:bodyDiv w:val="1"/>
      <w:marLeft w:val="0"/>
      <w:marRight w:val="0"/>
      <w:marTop w:val="0"/>
      <w:marBottom w:val="0"/>
      <w:divBdr>
        <w:top w:val="none" w:sz="0" w:space="0" w:color="auto"/>
        <w:left w:val="none" w:sz="0" w:space="0" w:color="auto"/>
        <w:bottom w:val="none" w:sz="0" w:space="0" w:color="auto"/>
        <w:right w:val="none" w:sz="0" w:space="0" w:color="auto"/>
      </w:divBdr>
    </w:div>
    <w:div w:id="1273513344">
      <w:bodyDiv w:val="1"/>
      <w:marLeft w:val="0"/>
      <w:marRight w:val="0"/>
      <w:marTop w:val="0"/>
      <w:marBottom w:val="0"/>
      <w:divBdr>
        <w:top w:val="none" w:sz="0" w:space="0" w:color="auto"/>
        <w:left w:val="none" w:sz="0" w:space="0" w:color="auto"/>
        <w:bottom w:val="none" w:sz="0" w:space="0" w:color="auto"/>
        <w:right w:val="none" w:sz="0" w:space="0" w:color="auto"/>
      </w:divBdr>
    </w:div>
    <w:div w:id="1366129005">
      <w:bodyDiv w:val="1"/>
      <w:marLeft w:val="0"/>
      <w:marRight w:val="0"/>
      <w:marTop w:val="0"/>
      <w:marBottom w:val="0"/>
      <w:divBdr>
        <w:top w:val="none" w:sz="0" w:space="0" w:color="auto"/>
        <w:left w:val="none" w:sz="0" w:space="0" w:color="auto"/>
        <w:bottom w:val="none" w:sz="0" w:space="0" w:color="auto"/>
        <w:right w:val="none" w:sz="0" w:space="0" w:color="auto"/>
      </w:divBdr>
      <w:divsChild>
        <w:div w:id="1086149460">
          <w:marLeft w:val="0"/>
          <w:marRight w:val="0"/>
          <w:marTop w:val="0"/>
          <w:marBottom w:val="0"/>
          <w:divBdr>
            <w:top w:val="none" w:sz="0" w:space="0" w:color="auto"/>
            <w:left w:val="none" w:sz="0" w:space="0" w:color="auto"/>
            <w:bottom w:val="none" w:sz="0" w:space="0" w:color="auto"/>
            <w:right w:val="none" w:sz="0" w:space="0" w:color="auto"/>
          </w:divBdr>
          <w:divsChild>
            <w:div w:id="2057317971">
              <w:marLeft w:val="0"/>
              <w:marRight w:val="0"/>
              <w:marTop w:val="0"/>
              <w:marBottom w:val="0"/>
              <w:divBdr>
                <w:top w:val="none" w:sz="0" w:space="0" w:color="auto"/>
                <w:left w:val="none" w:sz="0" w:space="0" w:color="auto"/>
                <w:bottom w:val="none" w:sz="0" w:space="0" w:color="auto"/>
                <w:right w:val="none" w:sz="0" w:space="0" w:color="auto"/>
              </w:divBdr>
              <w:divsChild>
                <w:div w:id="258681739">
                  <w:marLeft w:val="0"/>
                  <w:marRight w:val="0"/>
                  <w:marTop w:val="0"/>
                  <w:marBottom w:val="0"/>
                  <w:divBdr>
                    <w:top w:val="none" w:sz="0" w:space="0" w:color="auto"/>
                    <w:left w:val="none" w:sz="0" w:space="0" w:color="auto"/>
                    <w:bottom w:val="none" w:sz="0" w:space="0" w:color="auto"/>
                    <w:right w:val="none" w:sz="0" w:space="0" w:color="auto"/>
                  </w:divBdr>
                  <w:divsChild>
                    <w:div w:id="630405598">
                      <w:marLeft w:val="1"/>
                      <w:marRight w:val="1"/>
                      <w:marTop w:val="0"/>
                      <w:marBottom w:val="0"/>
                      <w:divBdr>
                        <w:top w:val="none" w:sz="0" w:space="0" w:color="auto"/>
                        <w:left w:val="none" w:sz="0" w:space="0" w:color="auto"/>
                        <w:bottom w:val="none" w:sz="0" w:space="0" w:color="auto"/>
                        <w:right w:val="none" w:sz="0" w:space="0" w:color="auto"/>
                      </w:divBdr>
                      <w:divsChild>
                        <w:div w:id="1851479387">
                          <w:marLeft w:val="0"/>
                          <w:marRight w:val="0"/>
                          <w:marTop w:val="0"/>
                          <w:marBottom w:val="0"/>
                          <w:divBdr>
                            <w:top w:val="none" w:sz="0" w:space="0" w:color="auto"/>
                            <w:left w:val="none" w:sz="0" w:space="0" w:color="auto"/>
                            <w:bottom w:val="none" w:sz="0" w:space="0" w:color="auto"/>
                            <w:right w:val="none" w:sz="0" w:space="0" w:color="auto"/>
                          </w:divBdr>
                          <w:divsChild>
                            <w:div w:id="1920673337">
                              <w:marLeft w:val="0"/>
                              <w:marRight w:val="0"/>
                              <w:marTop w:val="0"/>
                              <w:marBottom w:val="0"/>
                              <w:divBdr>
                                <w:top w:val="none" w:sz="0" w:space="0" w:color="auto"/>
                                <w:left w:val="none" w:sz="0" w:space="0" w:color="auto"/>
                                <w:bottom w:val="none" w:sz="0" w:space="0" w:color="auto"/>
                                <w:right w:val="none" w:sz="0" w:space="0" w:color="auto"/>
                              </w:divBdr>
                              <w:divsChild>
                                <w:div w:id="1729567111">
                                  <w:marLeft w:val="0"/>
                                  <w:marRight w:val="0"/>
                                  <w:marTop w:val="0"/>
                                  <w:marBottom w:val="0"/>
                                  <w:divBdr>
                                    <w:top w:val="none" w:sz="0" w:space="0" w:color="auto"/>
                                    <w:left w:val="none" w:sz="0" w:space="0" w:color="auto"/>
                                    <w:bottom w:val="none" w:sz="0" w:space="0" w:color="auto"/>
                                    <w:right w:val="none" w:sz="0" w:space="0" w:color="auto"/>
                                  </w:divBdr>
                                  <w:divsChild>
                                    <w:div w:id="1779249305">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sChild>
                                            <w:div w:id="1473524851">
                                              <w:marLeft w:val="0"/>
                                              <w:marRight w:val="0"/>
                                              <w:marTop w:val="0"/>
                                              <w:marBottom w:val="0"/>
                                              <w:divBdr>
                                                <w:top w:val="none" w:sz="0" w:space="0" w:color="auto"/>
                                                <w:left w:val="none" w:sz="0" w:space="0" w:color="auto"/>
                                                <w:bottom w:val="none" w:sz="0" w:space="0" w:color="auto"/>
                                                <w:right w:val="none" w:sz="0" w:space="0" w:color="auto"/>
                                              </w:divBdr>
                                              <w:divsChild>
                                                <w:div w:id="11746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634804">
      <w:bodyDiv w:val="1"/>
      <w:marLeft w:val="0"/>
      <w:marRight w:val="0"/>
      <w:marTop w:val="0"/>
      <w:marBottom w:val="0"/>
      <w:divBdr>
        <w:top w:val="none" w:sz="0" w:space="0" w:color="auto"/>
        <w:left w:val="none" w:sz="0" w:space="0" w:color="auto"/>
        <w:bottom w:val="none" w:sz="0" w:space="0" w:color="auto"/>
        <w:right w:val="none" w:sz="0" w:space="0" w:color="auto"/>
      </w:divBdr>
    </w:div>
    <w:div w:id="1376348078">
      <w:bodyDiv w:val="1"/>
      <w:marLeft w:val="0"/>
      <w:marRight w:val="0"/>
      <w:marTop w:val="0"/>
      <w:marBottom w:val="0"/>
      <w:divBdr>
        <w:top w:val="none" w:sz="0" w:space="0" w:color="auto"/>
        <w:left w:val="none" w:sz="0" w:space="0" w:color="auto"/>
        <w:bottom w:val="none" w:sz="0" w:space="0" w:color="auto"/>
        <w:right w:val="none" w:sz="0" w:space="0" w:color="auto"/>
      </w:divBdr>
    </w:div>
    <w:div w:id="1396930202">
      <w:bodyDiv w:val="1"/>
      <w:marLeft w:val="0"/>
      <w:marRight w:val="0"/>
      <w:marTop w:val="0"/>
      <w:marBottom w:val="0"/>
      <w:divBdr>
        <w:top w:val="none" w:sz="0" w:space="0" w:color="auto"/>
        <w:left w:val="none" w:sz="0" w:space="0" w:color="auto"/>
        <w:bottom w:val="none" w:sz="0" w:space="0" w:color="auto"/>
        <w:right w:val="none" w:sz="0" w:space="0" w:color="auto"/>
      </w:divBdr>
    </w:div>
    <w:div w:id="1431046399">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
    <w:div w:id="1494486213">
      <w:bodyDiv w:val="1"/>
      <w:marLeft w:val="0"/>
      <w:marRight w:val="0"/>
      <w:marTop w:val="0"/>
      <w:marBottom w:val="0"/>
      <w:divBdr>
        <w:top w:val="none" w:sz="0" w:space="0" w:color="auto"/>
        <w:left w:val="none" w:sz="0" w:space="0" w:color="auto"/>
        <w:bottom w:val="none" w:sz="0" w:space="0" w:color="auto"/>
        <w:right w:val="none" w:sz="0" w:space="0" w:color="auto"/>
      </w:divBdr>
    </w:div>
    <w:div w:id="1516264660">
      <w:bodyDiv w:val="1"/>
      <w:marLeft w:val="0"/>
      <w:marRight w:val="0"/>
      <w:marTop w:val="0"/>
      <w:marBottom w:val="0"/>
      <w:divBdr>
        <w:top w:val="none" w:sz="0" w:space="0" w:color="auto"/>
        <w:left w:val="none" w:sz="0" w:space="0" w:color="auto"/>
        <w:bottom w:val="none" w:sz="0" w:space="0" w:color="auto"/>
        <w:right w:val="none" w:sz="0" w:space="0" w:color="auto"/>
      </w:divBdr>
      <w:divsChild>
        <w:div w:id="794831747">
          <w:marLeft w:val="0"/>
          <w:marRight w:val="0"/>
          <w:marTop w:val="0"/>
          <w:marBottom w:val="0"/>
          <w:divBdr>
            <w:top w:val="none" w:sz="0" w:space="0" w:color="auto"/>
            <w:left w:val="none" w:sz="0" w:space="0" w:color="auto"/>
            <w:bottom w:val="none" w:sz="0" w:space="0" w:color="auto"/>
            <w:right w:val="none" w:sz="0" w:space="0" w:color="auto"/>
          </w:divBdr>
          <w:divsChild>
            <w:div w:id="822894993">
              <w:marLeft w:val="0"/>
              <w:marRight w:val="0"/>
              <w:marTop w:val="0"/>
              <w:marBottom w:val="0"/>
              <w:divBdr>
                <w:top w:val="none" w:sz="0" w:space="0" w:color="auto"/>
                <w:left w:val="none" w:sz="0" w:space="0" w:color="auto"/>
                <w:bottom w:val="none" w:sz="0" w:space="0" w:color="auto"/>
                <w:right w:val="none" w:sz="0" w:space="0" w:color="auto"/>
              </w:divBdr>
              <w:divsChild>
                <w:div w:id="564487076">
                  <w:marLeft w:val="0"/>
                  <w:marRight w:val="0"/>
                  <w:marTop w:val="0"/>
                  <w:marBottom w:val="0"/>
                  <w:divBdr>
                    <w:top w:val="none" w:sz="0" w:space="0" w:color="auto"/>
                    <w:left w:val="none" w:sz="0" w:space="0" w:color="auto"/>
                    <w:bottom w:val="none" w:sz="0" w:space="0" w:color="auto"/>
                    <w:right w:val="none" w:sz="0" w:space="0" w:color="auto"/>
                  </w:divBdr>
                  <w:divsChild>
                    <w:div w:id="1922131572">
                      <w:marLeft w:val="0"/>
                      <w:marRight w:val="0"/>
                      <w:marTop w:val="0"/>
                      <w:marBottom w:val="0"/>
                      <w:divBdr>
                        <w:top w:val="none" w:sz="0" w:space="0" w:color="auto"/>
                        <w:left w:val="none" w:sz="0" w:space="0" w:color="auto"/>
                        <w:bottom w:val="none" w:sz="0" w:space="0" w:color="auto"/>
                        <w:right w:val="none" w:sz="0" w:space="0" w:color="auto"/>
                      </w:divBdr>
                      <w:divsChild>
                        <w:div w:id="1146162470">
                          <w:marLeft w:val="0"/>
                          <w:marRight w:val="0"/>
                          <w:marTop w:val="0"/>
                          <w:marBottom w:val="0"/>
                          <w:divBdr>
                            <w:top w:val="none" w:sz="0" w:space="0" w:color="auto"/>
                            <w:left w:val="none" w:sz="0" w:space="0" w:color="auto"/>
                            <w:bottom w:val="none" w:sz="0" w:space="0" w:color="auto"/>
                            <w:right w:val="none" w:sz="0" w:space="0" w:color="auto"/>
                          </w:divBdr>
                          <w:divsChild>
                            <w:div w:id="1086657726">
                              <w:marLeft w:val="0"/>
                              <w:marRight w:val="0"/>
                              <w:marTop w:val="0"/>
                              <w:marBottom w:val="0"/>
                              <w:divBdr>
                                <w:top w:val="none" w:sz="0" w:space="0" w:color="auto"/>
                                <w:left w:val="none" w:sz="0" w:space="0" w:color="auto"/>
                                <w:bottom w:val="none" w:sz="0" w:space="0" w:color="auto"/>
                                <w:right w:val="none" w:sz="0" w:space="0" w:color="auto"/>
                              </w:divBdr>
                              <w:divsChild>
                                <w:div w:id="49037838">
                                  <w:marLeft w:val="0"/>
                                  <w:marRight w:val="0"/>
                                  <w:marTop w:val="0"/>
                                  <w:marBottom w:val="0"/>
                                  <w:divBdr>
                                    <w:top w:val="none" w:sz="0" w:space="0" w:color="auto"/>
                                    <w:left w:val="none" w:sz="0" w:space="0" w:color="auto"/>
                                    <w:bottom w:val="none" w:sz="0" w:space="0" w:color="auto"/>
                                    <w:right w:val="none" w:sz="0" w:space="0" w:color="auto"/>
                                  </w:divBdr>
                                  <w:divsChild>
                                    <w:div w:id="1582330524">
                                      <w:marLeft w:val="0"/>
                                      <w:marRight w:val="0"/>
                                      <w:marTop w:val="0"/>
                                      <w:marBottom w:val="0"/>
                                      <w:divBdr>
                                        <w:top w:val="none" w:sz="0" w:space="0" w:color="auto"/>
                                        <w:left w:val="none" w:sz="0" w:space="0" w:color="auto"/>
                                        <w:bottom w:val="none" w:sz="0" w:space="0" w:color="auto"/>
                                        <w:right w:val="none" w:sz="0" w:space="0" w:color="auto"/>
                                      </w:divBdr>
                                      <w:divsChild>
                                        <w:div w:id="1220439250">
                                          <w:marLeft w:val="0"/>
                                          <w:marRight w:val="0"/>
                                          <w:marTop w:val="0"/>
                                          <w:marBottom w:val="0"/>
                                          <w:divBdr>
                                            <w:top w:val="none" w:sz="0" w:space="0" w:color="auto"/>
                                            <w:left w:val="none" w:sz="0" w:space="0" w:color="auto"/>
                                            <w:bottom w:val="none" w:sz="0" w:space="0" w:color="auto"/>
                                            <w:right w:val="none" w:sz="0" w:space="0" w:color="auto"/>
                                          </w:divBdr>
                                          <w:divsChild>
                                            <w:div w:id="2110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884435">
      <w:bodyDiv w:val="1"/>
      <w:marLeft w:val="0"/>
      <w:marRight w:val="0"/>
      <w:marTop w:val="0"/>
      <w:marBottom w:val="0"/>
      <w:divBdr>
        <w:top w:val="none" w:sz="0" w:space="0" w:color="auto"/>
        <w:left w:val="none" w:sz="0" w:space="0" w:color="auto"/>
        <w:bottom w:val="none" w:sz="0" w:space="0" w:color="auto"/>
        <w:right w:val="none" w:sz="0" w:space="0" w:color="auto"/>
      </w:divBdr>
    </w:div>
    <w:div w:id="1540245415">
      <w:bodyDiv w:val="1"/>
      <w:marLeft w:val="0"/>
      <w:marRight w:val="0"/>
      <w:marTop w:val="0"/>
      <w:marBottom w:val="0"/>
      <w:divBdr>
        <w:top w:val="none" w:sz="0" w:space="0" w:color="auto"/>
        <w:left w:val="none" w:sz="0" w:space="0" w:color="auto"/>
        <w:bottom w:val="none" w:sz="0" w:space="0" w:color="auto"/>
        <w:right w:val="none" w:sz="0" w:space="0" w:color="auto"/>
      </w:divBdr>
    </w:div>
    <w:div w:id="1543859251">
      <w:bodyDiv w:val="1"/>
      <w:marLeft w:val="0"/>
      <w:marRight w:val="0"/>
      <w:marTop w:val="0"/>
      <w:marBottom w:val="0"/>
      <w:divBdr>
        <w:top w:val="none" w:sz="0" w:space="0" w:color="auto"/>
        <w:left w:val="none" w:sz="0" w:space="0" w:color="auto"/>
        <w:bottom w:val="none" w:sz="0" w:space="0" w:color="auto"/>
        <w:right w:val="none" w:sz="0" w:space="0" w:color="auto"/>
      </w:divBdr>
    </w:div>
    <w:div w:id="1544711715">
      <w:bodyDiv w:val="1"/>
      <w:marLeft w:val="0"/>
      <w:marRight w:val="0"/>
      <w:marTop w:val="0"/>
      <w:marBottom w:val="0"/>
      <w:divBdr>
        <w:top w:val="none" w:sz="0" w:space="0" w:color="auto"/>
        <w:left w:val="none" w:sz="0" w:space="0" w:color="auto"/>
        <w:bottom w:val="none" w:sz="0" w:space="0" w:color="auto"/>
        <w:right w:val="none" w:sz="0" w:space="0" w:color="auto"/>
      </w:divBdr>
    </w:div>
    <w:div w:id="1551308208">
      <w:bodyDiv w:val="1"/>
      <w:marLeft w:val="0"/>
      <w:marRight w:val="0"/>
      <w:marTop w:val="0"/>
      <w:marBottom w:val="0"/>
      <w:divBdr>
        <w:top w:val="none" w:sz="0" w:space="0" w:color="auto"/>
        <w:left w:val="none" w:sz="0" w:space="0" w:color="auto"/>
        <w:bottom w:val="none" w:sz="0" w:space="0" w:color="auto"/>
        <w:right w:val="none" w:sz="0" w:space="0" w:color="auto"/>
      </w:divBdr>
    </w:div>
    <w:div w:id="1551530878">
      <w:bodyDiv w:val="1"/>
      <w:marLeft w:val="0"/>
      <w:marRight w:val="0"/>
      <w:marTop w:val="0"/>
      <w:marBottom w:val="0"/>
      <w:divBdr>
        <w:top w:val="none" w:sz="0" w:space="0" w:color="auto"/>
        <w:left w:val="none" w:sz="0" w:space="0" w:color="auto"/>
        <w:bottom w:val="none" w:sz="0" w:space="0" w:color="auto"/>
        <w:right w:val="none" w:sz="0" w:space="0" w:color="auto"/>
      </w:divBdr>
    </w:div>
    <w:div w:id="1564607703">
      <w:bodyDiv w:val="1"/>
      <w:marLeft w:val="0"/>
      <w:marRight w:val="0"/>
      <w:marTop w:val="0"/>
      <w:marBottom w:val="0"/>
      <w:divBdr>
        <w:top w:val="none" w:sz="0" w:space="0" w:color="auto"/>
        <w:left w:val="none" w:sz="0" w:space="0" w:color="auto"/>
        <w:bottom w:val="none" w:sz="0" w:space="0" w:color="auto"/>
        <w:right w:val="none" w:sz="0" w:space="0" w:color="auto"/>
      </w:divBdr>
      <w:divsChild>
        <w:div w:id="363672819">
          <w:marLeft w:val="0"/>
          <w:marRight w:val="0"/>
          <w:marTop w:val="0"/>
          <w:marBottom w:val="0"/>
          <w:divBdr>
            <w:top w:val="none" w:sz="0" w:space="0" w:color="auto"/>
            <w:left w:val="none" w:sz="0" w:space="0" w:color="auto"/>
            <w:bottom w:val="none" w:sz="0" w:space="0" w:color="auto"/>
            <w:right w:val="none" w:sz="0" w:space="0" w:color="auto"/>
          </w:divBdr>
          <w:divsChild>
            <w:div w:id="1945458921">
              <w:marLeft w:val="0"/>
              <w:marRight w:val="0"/>
              <w:marTop w:val="0"/>
              <w:marBottom w:val="0"/>
              <w:divBdr>
                <w:top w:val="none" w:sz="0" w:space="0" w:color="auto"/>
                <w:left w:val="none" w:sz="0" w:space="0" w:color="auto"/>
                <w:bottom w:val="none" w:sz="0" w:space="0" w:color="auto"/>
                <w:right w:val="none" w:sz="0" w:space="0" w:color="auto"/>
              </w:divBdr>
              <w:divsChild>
                <w:div w:id="460806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sChild>
        <w:div w:id="845679863">
          <w:marLeft w:val="0"/>
          <w:marRight w:val="0"/>
          <w:marTop w:val="0"/>
          <w:marBottom w:val="0"/>
          <w:divBdr>
            <w:top w:val="none" w:sz="0" w:space="0" w:color="auto"/>
            <w:left w:val="none" w:sz="0" w:space="0" w:color="auto"/>
            <w:bottom w:val="none" w:sz="0" w:space="0" w:color="auto"/>
            <w:right w:val="none" w:sz="0" w:space="0" w:color="auto"/>
          </w:divBdr>
          <w:divsChild>
            <w:div w:id="1774013276">
              <w:marLeft w:val="0"/>
              <w:marRight w:val="0"/>
              <w:marTop w:val="0"/>
              <w:marBottom w:val="0"/>
              <w:divBdr>
                <w:top w:val="none" w:sz="0" w:space="0" w:color="auto"/>
                <w:left w:val="none" w:sz="0" w:space="0" w:color="auto"/>
                <w:bottom w:val="none" w:sz="0" w:space="0" w:color="auto"/>
                <w:right w:val="none" w:sz="0" w:space="0" w:color="auto"/>
              </w:divBdr>
              <w:divsChild>
                <w:div w:id="1278369541">
                  <w:marLeft w:val="0"/>
                  <w:marRight w:val="0"/>
                  <w:marTop w:val="0"/>
                  <w:marBottom w:val="0"/>
                  <w:divBdr>
                    <w:top w:val="none" w:sz="0" w:space="0" w:color="auto"/>
                    <w:left w:val="none" w:sz="0" w:space="0" w:color="auto"/>
                    <w:bottom w:val="none" w:sz="0" w:space="0" w:color="auto"/>
                    <w:right w:val="none" w:sz="0" w:space="0" w:color="auto"/>
                  </w:divBdr>
                  <w:divsChild>
                    <w:div w:id="1577399118">
                      <w:marLeft w:val="0"/>
                      <w:marRight w:val="0"/>
                      <w:marTop w:val="0"/>
                      <w:marBottom w:val="0"/>
                      <w:divBdr>
                        <w:top w:val="none" w:sz="0" w:space="0" w:color="auto"/>
                        <w:left w:val="none" w:sz="0" w:space="0" w:color="auto"/>
                        <w:bottom w:val="none" w:sz="0" w:space="0" w:color="auto"/>
                        <w:right w:val="none" w:sz="0" w:space="0" w:color="auto"/>
                      </w:divBdr>
                      <w:divsChild>
                        <w:div w:id="9283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897">
      <w:bodyDiv w:val="1"/>
      <w:marLeft w:val="0"/>
      <w:marRight w:val="0"/>
      <w:marTop w:val="0"/>
      <w:marBottom w:val="0"/>
      <w:divBdr>
        <w:top w:val="none" w:sz="0" w:space="0" w:color="auto"/>
        <w:left w:val="none" w:sz="0" w:space="0" w:color="auto"/>
        <w:bottom w:val="none" w:sz="0" w:space="0" w:color="auto"/>
        <w:right w:val="none" w:sz="0" w:space="0" w:color="auto"/>
      </w:divBdr>
    </w:div>
    <w:div w:id="1669746513">
      <w:bodyDiv w:val="1"/>
      <w:marLeft w:val="0"/>
      <w:marRight w:val="0"/>
      <w:marTop w:val="0"/>
      <w:marBottom w:val="0"/>
      <w:divBdr>
        <w:top w:val="none" w:sz="0" w:space="0" w:color="auto"/>
        <w:left w:val="none" w:sz="0" w:space="0" w:color="auto"/>
        <w:bottom w:val="none" w:sz="0" w:space="0" w:color="auto"/>
        <w:right w:val="none" w:sz="0" w:space="0" w:color="auto"/>
      </w:divBdr>
    </w:div>
    <w:div w:id="1703091174">
      <w:bodyDiv w:val="1"/>
      <w:marLeft w:val="0"/>
      <w:marRight w:val="0"/>
      <w:marTop w:val="0"/>
      <w:marBottom w:val="0"/>
      <w:divBdr>
        <w:top w:val="none" w:sz="0" w:space="0" w:color="auto"/>
        <w:left w:val="none" w:sz="0" w:space="0" w:color="auto"/>
        <w:bottom w:val="none" w:sz="0" w:space="0" w:color="auto"/>
        <w:right w:val="none" w:sz="0" w:space="0" w:color="auto"/>
      </w:divBdr>
      <w:divsChild>
        <w:div w:id="289407262">
          <w:marLeft w:val="0"/>
          <w:marRight w:val="0"/>
          <w:marTop w:val="0"/>
          <w:marBottom w:val="0"/>
          <w:divBdr>
            <w:top w:val="none" w:sz="0" w:space="0" w:color="auto"/>
            <w:left w:val="none" w:sz="0" w:space="0" w:color="auto"/>
            <w:bottom w:val="none" w:sz="0" w:space="0" w:color="auto"/>
            <w:right w:val="none" w:sz="0" w:space="0" w:color="auto"/>
          </w:divBdr>
          <w:divsChild>
            <w:div w:id="14979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4991">
      <w:bodyDiv w:val="1"/>
      <w:marLeft w:val="0"/>
      <w:marRight w:val="0"/>
      <w:marTop w:val="0"/>
      <w:marBottom w:val="0"/>
      <w:divBdr>
        <w:top w:val="none" w:sz="0" w:space="0" w:color="auto"/>
        <w:left w:val="none" w:sz="0" w:space="0" w:color="auto"/>
        <w:bottom w:val="none" w:sz="0" w:space="0" w:color="auto"/>
        <w:right w:val="none" w:sz="0" w:space="0" w:color="auto"/>
      </w:divBdr>
    </w:div>
    <w:div w:id="1705598558">
      <w:bodyDiv w:val="1"/>
      <w:marLeft w:val="0"/>
      <w:marRight w:val="0"/>
      <w:marTop w:val="0"/>
      <w:marBottom w:val="0"/>
      <w:divBdr>
        <w:top w:val="none" w:sz="0" w:space="0" w:color="auto"/>
        <w:left w:val="none" w:sz="0" w:space="0" w:color="auto"/>
        <w:bottom w:val="none" w:sz="0" w:space="0" w:color="auto"/>
        <w:right w:val="none" w:sz="0" w:space="0" w:color="auto"/>
      </w:divBdr>
      <w:divsChild>
        <w:div w:id="1676571118">
          <w:marLeft w:val="0"/>
          <w:marRight w:val="0"/>
          <w:marTop w:val="0"/>
          <w:marBottom w:val="0"/>
          <w:divBdr>
            <w:top w:val="none" w:sz="0" w:space="0" w:color="auto"/>
            <w:left w:val="none" w:sz="0" w:space="0" w:color="auto"/>
            <w:bottom w:val="none" w:sz="0" w:space="0" w:color="auto"/>
            <w:right w:val="none" w:sz="0" w:space="0" w:color="auto"/>
          </w:divBdr>
          <w:divsChild>
            <w:div w:id="1885025726">
              <w:marLeft w:val="0"/>
              <w:marRight w:val="0"/>
              <w:marTop w:val="0"/>
              <w:marBottom w:val="0"/>
              <w:divBdr>
                <w:top w:val="none" w:sz="0" w:space="0" w:color="auto"/>
                <w:left w:val="none" w:sz="0" w:space="0" w:color="auto"/>
                <w:bottom w:val="none" w:sz="0" w:space="0" w:color="auto"/>
                <w:right w:val="none" w:sz="0" w:space="0" w:color="auto"/>
              </w:divBdr>
              <w:divsChild>
                <w:div w:id="580412449">
                  <w:marLeft w:val="0"/>
                  <w:marRight w:val="0"/>
                  <w:marTop w:val="0"/>
                  <w:marBottom w:val="0"/>
                  <w:divBdr>
                    <w:top w:val="none" w:sz="0" w:space="0" w:color="auto"/>
                    <w:left w:val="none" w:sz="0" w:space="0" w:color="auto"/>
                    <w:bottom w:val="none" w:sz="0" w:space="0" w:color="auto"/>
                    <w:right w:val="none" w:sz="0" w:space="0" w:color="auto"/>
                  </w:divBdr>
                  <w:divsChild>
                    <w:div w:id="1438599027">
                      <w:marLeft w:val="0"/>
                      <w:marRight w:val="0"/>
                      <w:marTop w:val="0"/>
                      <w:marBottom w:val="0"/>
                      <w:divBdr>
                        <w:top w:val="none" w:sz="0" w:space="0" w:color="auto"/>
                        <w:left w:val="none" w:sz="0" w:space="0" w:color="auto"/>
                        <w:bottom w:val="none" w:sz="0" w:space="0" w:color="auto"/>
                        <w:right w:val="none" w:sz="0" w:space="0" w:color="auto"/>
                      </w:divBdr>
                      <w:divsChild>
                        <w:div w:id="1832482833">
                          <w:marLeft w:val="0"/>
                          <w:marRight w:val="0"/>
                          <w:marTop w:val="0"/>
                          <w:marBottom w:val="0"/>
                          <w:divBdr>
                            <w:top w:val="none" w:sz="0" w:space="0" w:color="auto"/>
                            <w:left w:val="none" w:sz="0" w:space="0" w:color="auto"/>
                            <w:bottom w:val="none" w:sz="0" w:space="0" w:color="auto"/>
                            <w:right w:val="none" w:sz="0" w:space="0" w:color="auto"/>
                          </w:divBdr>
                          <w:divsChild>
                            <w:div w:id="2086680629">
                              <w:marLeft w:val="0"/>
                              <w:marRight w:val="0"/>
                              <w:marTop w:val="0"/>
                              <w:marBottom w:val="0"/>
                              <w:divBdr>
                                <w:top w:val="none" w:sz="0" w:space="0" w:color="auto"/>
                                <w:left w:val="none" w:sz="0" w:space="0" w:color="auto"/>
                                <w:bottom w:val="none" w:sz="0" w:space="0" w:color="auto"/>
                                <w:right w:val="none" w:sz="0" w:space="0" w:color="auto"/>
                              </w:divBdr>
                              <w:divsChild>
                                <w:div w:id="955451225">
                                  <w:marLeft w:val="0"/>
                                  <w:marRight w:val="0"/>
                                  <w:marTop w:val="0"/>
                                  <w:marBottom w:val="0"/>
                                  <w:divBdr>
                                    <w:top w:val="none" w:sz="0" w:space="0" w:color="auto"/>
                                    <w:left w:val="none" w:sz="0" w:space="0" w:color="auto"/>
                                    <w:bottom w:val="none" w:sz="0" w:space="0" w:color="auto"/>
                                    <w:right w:val="none" w:sz="0" w:space="0" w:color="auto"/>
                                  </w:divBdr>
                                  <w:divsChild>
                                    <w:div w:id="8205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42552">
      <w:bodyDiv w:val="1"/>
      <w:marLeft w:val="0"/>
      <w:marRight w:val="0"/>
      <w:marTop w:val="0"/>
      <w:marBottom w:val="0"/>
      <w:divBdr>
        <w:top w:val="none" w:sz="0" w:space="0" w:color="auto"/>
        <w:left w:val="none" w:sz="0" w:space="0" w:color="auto"/>
        <w:bottom w:val="none" w:sz="0" w:space="0" w:color="auto"/>
        <w:right w:val="none" w:sz="0" w:space="0" w:color="auto"/>
      </w:divBdr>
    </w:div>
    <w:div w:id="1721396899">
      <w:bodyDiv w:val="1"/>
      <w:marLeft w:val="0"/>
      <w:marRight w:val="0"/>
      <w:marTop w:val="0"/>
      <w:marBottom w:val="0"/>
      <w:divBdr>
        <w:top w:val="none" w:sz="0" w:space="0" w:color="auto"/>
        <w:left w:val="none" w:sz="0" w:space="0" w:color="auto"/>
        <w:bottom w:val="none" w:sz="0" w:space="0" w:color="auto"/>
        <w:right w:val="none" w:sz="0" w:space="0" w:color="auto"/>
      </w:divBdr>
    </w:div>
    <w:div w:id="1770657533">
      <w:bodyDiv w:val="1"/>
      <w:marLeft w:val="0"/>
      <w:marRight w:val="0"/>
      <w:marTop w:val="0"/>
      <w:marBottom w:val="0"/>
      <w:divBdr>
        <w:top w:val="none" w:sz="0" w:space="0" w:color="auto"/>
        <w:left w:val="none" w:sz="0" w:space="0" w:color="auto"/>
        <w:bottom w:val="none" w:sz="0" w:space="0" w:color="auto"/>
        <w:right w:val="none" w:sz="0" w:space="0" w:color="auto"/>
      </w:divBdr>
    </w:div>
    <w:div w:id="1794251621">
      <w:bodyDiv w:val="1"/>
      <w:marLeft w:val="0"/>
      <w:marRight w:val="0"/>
      <w:marTop w:val="0"/>
      <w:marBottom w:val="0"/>
      <w:divBdr>
        <w:top w:val="none" w:sz="0" w:space="0" w:color="auto"/>
        <w:left w:val="none" w:sz="0" w:space="0" w:color="auto"/>
        <w:bottom w:val="none" w:sz="0" w:space="0" w:color="auto"/>
        <w:right w:val="none" w:sz="0" w:space="0" w:color="auto"/>
      </w:divBdr>
    </w:div>
    <w:div w:id="1797331217">
      <w:bodyDiv w:val="1"/>
      <w:marLeft w:val="0"/>
      <w:marRight w:val="0"/>
      <w:marTop w:val="0"/>
      <w:marBottom w:val="0"/>
      <w:divBdr>
        <w:top w:val="none" w:sz="0" w:space="0" w:color="auto"/>
        <w:left w:val="none" w:sz="0" w:space="0" w:color="auto"/>
        <w:bottom w:val="none" w:sz="0" w:space="0" w:color="auto"/>
        <w:right w:val="none" w:sz="0" w:space="0" w:color="auto"/>
      </w:divBdr>
      <w:divsChild>
        <w:div w:id="483547789">
          <w:marLeft w:val="0"/>
          <w:marRight w:val="0"/>
          <w:marTop w:val="0"/>
          <w:marBottom w:val="0"/>
          <w:divBdr>
            <w:top w:val="none" w:sz="0" w:space="0" w:color="auto"/>
            <w:left w:val="none" w:sz="0" w:space="0" w:color="auto"/>
            <w:bottom w:val="none" w:sz="0" w:space="0" w:color="auto"/>
            <w:right w:val="none" w:sz="0" w:space="0" w:color="auto"/>
          </w:divBdr>
        </w:div>
      </w:divsChild>
    </w:div>
    <w:div w:id="1828785996">
      <w:bodyDiv w:val="1"/>
      <w:marLeft w:val="0"/>
      <w:marRight w:val="0"/>
      <w:marTop w:val="0"/>
      <w:marBottom w:val="0"/>
      <w:divBdr>
        <w:top w:val="none" w:sz="0" w:space="0" w:color="auto"/>
        <w:left w:val="none" w:sz="0" w:space="0" w:color="auto"/>
        <w:bottom w:val="none" w:sz="0" w:space="0" w:color="auto"/>
        <w:right w:val="none" w:sz="0" w:space="0" w:color="auto"/>
      </w:divBdr>
    </w:div>
    <w:div w:id="1830049435">
      <w:bodyDiv w:val="1"/>
      <w:marLeft w:val="0"/>
      <w:marRight w:val="0"/>
      <w:marTop w:val="0"/>
      <w:marBottom w:val="0"/>
      <w:divBdr>
        <w:top w:val="none" w:sz="0" w:space="0" w:color="auto"/>
        <w:left w:val="none" w:sz="0" w:space="0" w:color="auto"/>
        <w:bottom w:val="none" w:sz="0" w:space="0" w:color="auto"/>
        <w:right w:val="none" w:sz="0" w:space="0" w:color="auto"/>
      </w:divBdr>
    </w:div>
    <w:div w:id="1835948906">
      <w:bodyDiv w:val="1"/>
      <w:marLeft w:val="0"/>
      <w:marRight w:val="0"/>
      <w:marTop w:val="0"/>
      <w:marBottom w:val="0"/>
      <w:divBdr>
        <w:top w:val="none" w:sz="0" w:space="0" w:color="auto"/>
        <w:left w:val="none" w:sz="0" w:space="0" w:color="auto"/>
        <w:bottom w:val="none" w:sz="0" w:space="0" w:color="auto"/>
        <w:right w:val="none" w:sz="0" w:space="0" w:color="auto"/>
      </w:divBdr>
    </w:div>
    <w:div w:id="1866558185">
      <w:bodyDiv w:val="1"/>
      <w:marLeft w:val="0"/>
      <w:marRight w:val="0"/>
      <w:marTop w:val="0"/>
      <w:marBottom w:val="0"/>
      <w:divBdr>
        <w:top w:val="none" w:sz="0" w:space="0" w:color="auto"/>
        <w:left w:val="none" w:sz="0" w:space="0" w:color="auto"/>
        <w:bottom w:val="none" w:sz="0" w:space="0" w:color="auto"/>
        <w:right w:val="none" w:sz="0" w:space="0" w:color="auto"/>
      </w:divBdr>
      <w:divsChild>
        <w:div w:id="1279527342">
          <w:marLeft w:val="0"/>
          <w:marRight w:val="0"/>
          <w:marTop w:val="0"/>
          <w:marBottom w:val="0"/>
          <w:divBdr>
            <w:top w:val="none" w:sz="0" w:space="0" w:color="auto"/>
            <w:left w:val="none" w:sz="0" w:space="0" w:color="auto"/>
            <w:bottom w:val="none" w:sz="0" w:space="0" w:color="auto"/>
            <w:right w:val="none" w:sz="0" w:space="0" w:color="auto"/>
          </w:divBdr>
          <w:divsChild>
            <w:div w:id="2127774473">
              <w:marLeft w:val="0"/>
              <w:marRight w:val="0"/>
              <w:marTop w:val="0"/>
              <w:marBottom w:val="0"/>
              <w:divBdr>
                <w:top w:val="none" w:sz="0" w:space="0" w:color="auto"/>
                <w:left w:val="none" w:sz="0" w:space="0" w:color="auto"/>
                <w:bottom w:val="none" w:sz="0" w:space="0" w:color="auto"/>
                <w:right w:val="none" w:sz="0" w:space="0" w:color="auto"/>
              </w:divBdr>
              <w:divsChild>
                <w:div w:id="683671719">
                  <w:marLeft w:val="0"/>
                  <w:marRight w:val="0"/>
                  <w:marTop w:val="0"/>
                  <w:marBottom w:val="0"/>
                  <w:divBdr>
                    <w:top w:val="none" w:sz="0" w:space="0" w:color="auto"/>
                    <w:left w:val="none" w:sz="0" w:space="0" w:color="auto"/>
                    <w:bottom w:val="none" w:sz="0" w:space="0" w:color="auto"/>
                    <w:right w:val="none" w:sz="0" w:space="0" w:color="auto"/>
                  </w:divBdr>
                  <w:divsChild>
                    <w:div w:id="1544169839">
                      <w:marLeft w:val="0"/>
                      <w:marRight w:val="0"/>
                      <w:marTop w:val="0"/>
                      <w:marBottom w:val="0"/>
                      <w:divBdr>
                        <w:top w:val="none" w:sz="0" w:space="0" w:color="auto"/>
                        <w:left w:val="none" w:sz="0" w:space="0" w:color="auto"/>
                        <w:bottom w:val="none" w:sz="0" w:space="0" w:color="auto"/>
                        <w:right w:val="none" w:sz="0" w:space="0" w:color="auto"/>
                      </w:divBdr>
                      <w:divsChild>
                        <w:div w:id="200213843">
                          <w:marLeft w:val="0"/>
                          <w:marRight w:val="0"/>
                          <w:marTop w:val="0"/>
                          <w:marBottom w:val="0"/>
                          <w:divBdr>
                            <w:top w:val="none" w:sz="0" w:space="0" w:color="auto"/>
                            <w:left w:val="none" w:sz="0" w:space="0" w:color="auto"/>
                            <w:bottom w:val="none" w:sz="0" w:space="0" w:color="auto"/>
                            <w:right w:val="none" w:sz="0" w:space="0" w:color="auto"/>
                          </w:divBdr>
                          <w:divsChild>
                            <w:div w:id="1013604662">
                              <w:marLeft w:val="0"/>
                              <w:marRight w:val="0"/>
                              <w:marTop w:val="0"/>
                              <w:marBottom w:val="0"/>
                              <w:divBdr>
                                <w:top w:val="none" w:sz="0" w:space="0" w:color="auto"/>
                                <w:left w:val="none" w:sz="0" w:space="0" w:color="auto"/>
                                <w:bottom w:val="none" w:sz="0" w:space="0" w:color="auto"/>
                                <w:right w:val="none" w:sz="0" w:space="0" w:color="auto"/>
                              </w:divBdr>
                              <w:divsChild>
                                <w:div w:id="17804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070304">
      <w:bodyDiv w:val="1"/>
      <w:marLeft w:val="0"/>
      <w:marRight w:val="0"/>
      <w:marTop w:val="0"/>
      <w:marBottom w:val="0"/>
      <w:divBdr>
        <w:top w:val="none" w:sz="0" w:space="0" w:color="auto"/>
        <w:left w:val="none" w:sz="0" w:space="0" w:color="auto"/>
        <w:bottom w:val="none" w:sz="0" w:space="0" w:color="auto"/>
        <w:right w:val="none" w:sz="0" w:space="0" w:color="auto"/>
      </w:divBdr>
    </w:div>
    <w:div w:id="1948273248">
      <w:bodyDiv w:val="1"/>
      <w:marLeft w:val="0"/>
      <w:marRight w:val="0"/>
      <w:marTop w:val="0"/>
      <w:marBottom w:val="0"/>
      <w:divBdr>
        <w:top w:val="none" w:sz="0" w:space="0" w:color="auto"/>
        <w:left w:val="none" w:sz="0" w:space="0" w:color="auto"/>
        <w:bottom w:val="none" w:sz="0" w:space="0" w:color="auto"/>
        <w:right w:val="none" w:sz="0" w:space="0" w:color="auto"/>
      </w:divBdr>
      <w:divsChild>
        <w:div w:id="2047216997">
          <w:marLeft w:val="0"/>
          <w:marRight w:val="0"/>
          <w:marTop w:val="0"/>
          <w:marBottom w:val="0"/>
          <w:divBdr>
            <w:top w:val="none" w:sz="0" w:space="0" w:color="auto"/>
            <w:left w:val="none" w:sz="0" w:space="0" w:color="auto"/>
            <w:bottom w:val="none" w:sz="0" w:space="0" w:color="auto"/>
            <w:right w:val="none" w:sz="0" w:space="0" w:color="auto"/>
          </w:divBdr>
          <w:divsChild>
            <w:div w:id="1512800221">
              <w:marLeft w:val="0"/>
              <w:marRight w:val="0"/>
              <w:marTop w:val="0"/>
              <w:marBottom w:val="0"/>
              <w:divBdr>
                <w:top w:val="none" w:sz="0" w:space="0" w:color="auto"/>
                <w:left w:val="none" w:sz="0" w:space="0" w:color="auto"/>
                <w:bottom w:val="none" w:sz="0" w:space="0" w:color="auto"/>
                <w:right w:val="none" w:sz="0" w:space="0" w:color="auto"/>
              </w:divBdr>
              <w:divsChild>
                <w:div w:id="1662465277">
                  <w:marLeft w:val="0"/>
                  <w:marRight w:val="0"/>
                  <w:marTop w:val="0"/>
                  <w:marBottom w:val="0"/>
                  <w:divBdr>
                    <w:top w:val="none" w:sz="0" w:space="0" w:color="auto"/>
                    <w:left w:val="none" w:sz="0" w:space="0" w:color="auto"/>
                    <w:bottom w:val="none" w:sz="0" w:space="0" w:color="auto"/>
                    <w:right w:val="none" w:sz="0" w:space="0" w:color="auto"/>
                  </w:divBdr>
                  <w:divsChild>
                    <w:div w:id="473718937">
                      <w:marLeft w:val="-360"/>
                      <w:marRight w:val="-360"/>
                      <w:marTop w:val="0"/>
                      <w:marBottom w:val="0"/>
                      <w:divBdr>
                        <w:top w:val="none" w:sz="0" w:space="0" w:color="auto"/>
                        <w:left w:val="none" w:sz="0" w:space="0" w:color="auto"/>
                        <w:bottom w:val="none" w:sz="0" w:space="0" w:color="auto"/>
                        <w:right w:val="none" w:sz="0" w:space="0" w:color="auto"/>
                      </w:divBdr>
                      <w:divsChild>
                        <w:div w:id="253560159">
                          <w:marLeft w:val="0"/>
                          <w:marRight w:val="0"/>
                          <w:marTop w:val="0"/>
                          <w:marBottom w:val="0"/>
                          <w:divBdr>
                            <w:top w:val="none" w:sz="0" w:space="0" w:color="auto"/>
                            <w:left w:val="none" w:sz="0" w:space="0" w:color="auto"/>
                            <w:bottom w:val="none" w:sz="0" w:space="0" w:color="auto"/>
                            <w:right w:val="none" w:sz="0" w:space="0" w:color="auto"/>
                          </w:divBdr>
                          <w:divsChild>
                            <w:div w:id="1280649429">
                              <w:marLeft w:val="0"/>
                              <w:marRight w:val="0"/>
                              <w:marTop w:val="0"/>
                              <w:marBottom w:val="0"/>
                              <w:divBdr>
                                <w:top w:val="none" w:sz="0" w:space="0" w:color="auto"/>
                                <w:left w:val="none" w:sz="0" w:space="0" w:color="auto"/>
                                <w:bottom w:val="none" w:sz="0" w:space="0" w:color="auto"/>
                                <w:right w:val="none" w:sz="0" w:space="0" w:color="auto"/>
                              </w:divBdr>
                              <w:divsChild>
                                <w:div w:id="744032969">
                                  <w:marLeft w:val="0"/>
                                  <w:marRight w:val="0"/>
                                  <w:marTop w:val="315"/>
                                  <w:marBottom w:val="0"/>
                                  <w:divBdr>
                                    <w:top w:val="none" w:sz="0" w:space="0" w:color="auto"/>
                                    <w:left w:val="none" w:sz="0" w:space="0" w:color="auto"/>
                                    <w:bottom w:val="none" w:sz="0" w:space="0" w:color="auto"/>
                                    <w:right w:val="none" w:sz="0" w:space="0" w:color="auto"/>
                                  </w:divBdr>
                                </w:div>
                                <w:div w:id="1438259673">
                                  <w:marLeft w:val="0"/>
                                  <w:marRight w:val="0"/>
                                  <w:marTop w:val="0"/>
                                  <w:marBottom w:val="315"/>
                                  <w:divBdr>
                                    <w:top w:val="none" w:sz="0" w:space="0" w:color="auto"/>
                                    <w:left w:val="none" w:sz="0" w:space="0" w:color="auto"/>
                                    <w:bottom w:val="none" w:sz="0" w:space="0" w:color="auto"/>
                                    <w:right w:val="none" w:sz="0" w:space="0" w:color="auto"/>
                                  </w:divBdr>
                                  <w:divsChild>
                                    <w:div w:id="1785879957">
                                      <w:marLeft w:val="0"/>
                                      <w:marRight w:val="0"/>
                                      <w:marTop w:val="0"/>
                                      <w:marBottom w:val="0"/>
                                      <w:divBdr>
                                        <w:top w:val="none" w:sz="0" w:space="0" w:color="auto"/>
                                        <w:left w:val="none" w:sz="0" w:space="0" w:color="auto"/>
                                        <w:bottom w:val="none" w:sz="0" w:space="0" w:color="auto"/>
                                        <w:right w:val="none" w:sz="0" w:space="0" w:color="auto"/>
                                      </w:divBdr>
                                      <w:divsChild>
                                        <w:div w:id="780538337">
                                          <w:marLeft w:val="180"/>
                                          <w:marRight w:val="0"/>
                                          <w:marTop w:val="0"/>
                                          <w:marBottom w:val="0"/>
                                          <w:divBdr>
                                            <w:top w:val="none" w:sz="0" w:space="0" w:color="auto"/>
                                            <w:left w:val="none" w:sz="0" w:space="0" w:color="auto"/>
                                            <w:bottom w:val="none" w:sz="0" w:space="0" w:color="auto"/>
                                            <w:right w:val="none" w:sz="0" w:space="0" w:color="auto"/>
                                          </w:divBdr>
                                        </w:div>
                                        <w:div w:id="1541437590">
                                          <w:marLeft w:val="180"/>
                                          <w:marRight w:val="0"/>
                                          <w:marTop w:val="0"/>
                                          <w:marBottom w:val="0"/>
                                          <w:divBdr>
                                            <w:top w:val="none" w:sz="0" w:space="0" w:color="auto"/>
                                            <w:left w:val="none" w:sz="0" w:space="0" w:color="auto"/>
                                            <w:bottom w:val="none" w:sz="0" w:space="0" w:color="auto"/>
                                            <w:right w:val="none" w:sz="0" w:space="0" w:color="auto"/>
                                          </w:divBdr>
                                        </w:div>
                                      </w:divsChild>
                                    </w:div>
                                    <w:div w:id="2050110323">
                                      <w:marLeft w:val="0"/>
                                      <w:marRight w:val="0"/>
                                      <w:marTop w:val="0"/>
                                      <w:marBottom w:val="0"/>
                                      <w:divBdr>
                                        <w:top w:val="none" w:sz="0" w:space="0" w:color="auto"/>
                                        <w:left w:val="none" w:sz="0" w:space="0" w:color="auto"/>
                                        <w:bottom w:val="none" w:sz="0" w:space="0" w:color="auto"/>
                                        <w:right w:val="none" w:sz="0" w:space="0" w:color="auto"/>
                                      </w:divBdr>
                                    </w:div>
                                  </w:divsChild>
                                </w:div>
                                <w:div w:id="1988632404">
                                  <w:marLeft w:val="0"/>
                                  <w:marRight w:val="0"/>
                                  <w:marTop w:val="0"/>
                                  <w:marBottom w:val="0"/>
                                  <w:divBdr>
                                    <w:top w:val="none" w:sz="0" w:space="0" w:color="auto"/>
                                    <w:left w:val="none" w:sz="0" w:space="0" w:color="auto"/>
                                    <w:bottom w:val="none" w:sz="0" w:space="0" w:color="auto"/>
                                    <w:right w:val="none" w:sz="0" w:space="0" w:color="auto"/>
                                  </w:divBdr>
                                  <w:divsChild>
                                    <w:div w:id="9648155">
                                      <w:marLeft w:val="0"/>
                                      <w:marRight w:val="0"/>
                                      <w:marTop w:val="0"/>
                                      <w:marBottom w:val="105"/>
                                      <w:divBdr>
                                        <w:top w:val="none" w:sz="0" w:space="0" w:color="auto"/>
                                        <w:left w:val="none" w:sz="0" w:space="0" w:color="auto"/>
                                        <w:bottom w:val="none" w:sz="0" w:space="0" w:color="auto"/>
                                        <w:right w:val="none" w:sz="0" w:space="0" w:color="auto"/>
                                      </w:divBdr>
                                      <w:divsChild>
                                        <w:div w:id="660931650">
                                          <w:marLeft w:val="0"/>
                                          <w:marRight w:val="0"/>
                                          <w:marTop w:val="0"/>
                                          <w:marBottom w:val="0"/>
                                          <w:divBdr>
                                            <w:top w:val="none" w:sz="0" w:space="0" w:color="auto"/>
                                            <w:left w:val="none" w:sz="0" w:space="0" w:color="auto"/>
                                            <w:bottom w:val="none" w:sz="0" w:space="0" w:color="auto"/>
                                            <w:right w:val="none" w:sz="0" w:space="0" w:color="auto"/>
                                          </w:divBdr>
                                        </w:div>
                                        <w:div w:id="696155886">
                                          <w:marLeft w:val="0"/>
                                          <w:marRight w:val="0"/>
                                          <w:marTop w:val="0"/>
                                          <w:marBottom w:val="0"/>
                                          <w:divBdr>
                                            <w:top w:val="none" w:sz="0" w:space="0" w:color="auto"/>
                                            <w:left w:val="none" w:sz="0" w:space="0" w:color="auto"/>
                                            <w:bottom w:val="none" w:sz="0" w:space="0" w:color="auto"/>
                                            <w:right w:val="none" w:sz="0" w:space="0" w:color="auto"/>
                                          </w:divBdr>
                                        </w:div>
                                        <w:div w:id="166940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037272">
      <w:bodyDiv w:val="1"/>
      <w:marLeft w:val="0"/>
      <w:marRight w:val="0"/>
      <w:marTop w:val="0"/>
      <w:marBottom w:val="0"/>
      <w:divBdr>
        <w:top w:val="none" w:sz="0" w:space="0" w:color="auto"/>
        <w:left w:val="none" w:sz="0" w:space="0" w:color="auto"/>
        <w:bottom w:val="none" w:sz="0" w:space="0" w:color="auto"/>
        <w:right w:val="none" w:sz="0" w:space="0" w:color="auto"/>
      </w:divBdr>
    </w:div>
    <w:div w:id="1986928163">
      <w:bodyDiv w:val="1"/>
      <w:marLeft w:val="0"/>
      <w:marRight w:val="0"/>
      <w:marTop w:val="0"/>
      <w:marBottom w:val="0"/>
      <w:divBdr>
        <w:top w:val="none" w:sz="0" w:space="0" w:color="auto"/>
        <w:left w:val="none" w:sz="0" w:space="0" w:color="auto"/>
        <w:bottom w:val="none" w:sz="0" w:space="0" w:color="auto"/>
        <w:right w:val="none" w:sz="0" w:space="0" w:color="auto"/>
      </w:divBdr>
      <w:divsChild>
        <w:div w:id="547382065">
          <w:marLeft w:val="0"/>
          <w:marRight w:val="0"/>
          <w:marTop w:val="0"/>
          <w:marBottom w:val="0"/>
          <w:divBdr>
            <w:top w:val="none" w:sz="0" w:space="0" w:color="auto"/>
            <w:left w:val="none" w:sz="0" w:space="0" w:color="auto"/>
            <w:bottom w:val="none" w:sz="0" w:space="0" w:color="auto"/>
            <w:right w:val="none" w:sz="0" w:space="0" w:color="auto"/>
          </w:divBdr>
          <w:divsChild>
            <w:div w:id="646010353">
              <w:marLeft w:val="0"/>
              <w:marRight w:val="0"/>
              <w:marTop w:val="0"/>
              <w:marBottom w:val="0"/>
              <w:divBdr>
                <w:top w:val="none" w:sz="0" w:space="0" w:color="auto"/>
                <w:left w:val="none" w:sz="0" w:space="0" w:color="auto"/>
                <w:bottom w:val="none" w:sz="0" w:space="0" w:color="auto"/>
                <w:right w:val="none" w:sz="0" w:space="0" w:color="auto"/>
              </w:divBdr>
              <w:divsChild>
                <w:div w:id="816341120">
                  <w:marLeft w:val="0"/>
                  <w:marRight w:val="0"/>
                  <w:marTop w:val="0"/>
                  <w:marBottom w:val="0"/>
                  <w:divBdr>
                    <w:top w:val="none" w:sz="0" w:space="0" w:color="auto"/>
                    <w:left w:val="none" w:sz="0" w:space="0" w:color="auto"/>
                    <w:bottom w:val="none" w:sz="0" w:space="0" w:color="auto"/>
                    <w:right w:val="none" w:sz="0" w:space="0" w:color="auto"/>
                  </w:divBdr>
                  <w:divsChild>
                    <w:div w:id="1517304597">
                      <w:marLeft w:val="0"/>
                      <w:marRight w:val="0"/>
                      <w:marTop w:val="0"/>
                      <w:marBottom w:val="0"/>
                      <w:divBdr>
                        <w:top w:val="none" w:sz="0" w:space="0" w:color="auto"/>
                        <w:left w:val="none" w:sz="0" w:space="0" w:color="auto"/>
                        <w:bottom w:val="none" w:sz="0" w:space="0" w:color="auto"/>
                        <w:right w:val="none" w:sz="0" w:space="0" w:color="auto"/>
                      </w:divBdr>
                      <w:divsChild>
                        <w:div w:id="1990819171">
                          <w:marLeft w:val="0"/>
                          <w:marRight w:val="0"/>
                          <w:marTop w:val="0"/>
                          <w:marBottom w:val="0"/>
                          <w:divBdr>
                            <w:top w:val="none" w:sz="0" w:space="0" w:color="auto"/>
                            <w:left w:val="none" w:sz="0" w:space="0" w:color="auto"/>
                            <w:bottom w:val="none" w:sz="0" w:space="0" w:color="auto"/>
                            <w:right w:val="none" w:sz="0" w:space="0" w:color="auto"/>
                          </w:divBdr>
                          <w:divsChild>
                            <w:div w:id="768430676">
                              <w:marLeft w:val="0"/>
                              <w:marRight w:val="0"/>
                              <w:marTop w:val="0"/>
                              <w:marBottom w:val="0"/>
                              <w:divBdr>
                                <w:top w:val="none" w:sz="0" w:space="0" w:color="auto"/>
                                <w:left w:val="none" w:sz="0" w:space="0" w:color="auto"/>
                                <w:bottom w:val="none" w:sz="0" w:space="0" w:color="auto"/>
                                <w:right w:val="none" w:sz="0" w:space="0" w:color="auto"/>
                              </w:divBdr>
                              <w:divsChild>
                                <w:div w:id="1503469388">
                                  <w:marLeft w:val="0"/>
                                  <w:marRight w:val="0"/>
                                  <w:marTop w:val="0"/>
                                  <w:marBottom w:val="0"/>
                                  <w:divBdr>
                                    <w:top w:val="none" w:sz="0" w:space="0" w:color="auto"/>
                                    <w:left w:val="none" w:sz="0" w:space="0" w:color="auto"/>
                                    <w:bottom w:val="none" w:sz="0" w:space="0" w:color="auto"/>
                                    <w:right w:val="none" w:sz="0" w:space="0" w:color="auto"/>
                                  </w:divBdr>
                                  <w:divsChild>
                                    <w:div w:id="573662077">
                                      <w:marLeft w:val="0"/>
                                      <w:marRight w:val="0"/>
                                      <w:marTop w:val="0"/>
                                      <w:marBottom w:val="0"/>
                                      <w:divBdr>
                                        <w:top w:val="none" w:sz="0" w:space="0" w:color="auto"/>
                                        <w:left w:val="none" w:sz="0" w:space="0" w:color="auto"/>
                                        <w:bottom w:val="none" w:sz="0" w:space="0" w:color="auto"/>
                                        <w:right w:val="none" w:sz="0" w:space="0" w:color="auto"/>
                                      </w:divBdr>
                                      <w:divsChild>
                                        <w:div w:id="1994796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088523">
      <w:bodyDiv w:val="1"/>
      <w:marLeft w:val="0"/>
      <w:marRight w:val="0"/>
      <w:marTop w:val="0"/>
      <w:marBottom w:val="0"/>
      <w:divBdr>
        <w:top w:val="none" w:sz="0" w:space="0" w:color="auto"/>
        <w:left w:val="none" w:sz="0" w:space="0" w:color="auto"/>
        <w:bottom w:val="none" w:sz="0" w:space="0" w:color="auto"/>
        <w:right w:val="none" w:sz="0" w:space="0" w:color="auto"/>
      </w:divBdr>
    </w:div>
    <w:div w:id="1990019444">
      <w:bodyDiv w:val="1"/>
      <w:marLeft w:val="0"/>
      <w:marRight w:val="0"/>
      <w:marTop w:val="0"/>
      <w:marBottom w:val="0"/>
      <w:divBdr>
        <w:top w:val="none" w:sz="0" w:space="0" w:color="auto"/>
        <w:left w:val="none" w:sz="0" w:space="0" w:color="auto"/>
        <w:bottom w:val="none" w:sz="0" w:space="0" w:color="auto"/>
        <w:right w:val="none" w:sz="0" w:space="0" w:color="auto"/>
      </w:divBdr>
    </w:div>
    <w:div w:id="1997494803">
      <w:bodyDiv w:val="1"/>
      <w:marLeft w:val="0"/>
      <w:marRight w:val="0"/>
      <w:marTop w:val="0"/>
      <w:marBottom w:val="0"/>
      <w:divBdr>
        <w:top w:val="none" w:sz="0" w:space="0" w:color="auto"/>
        <w:left w:val="none" w:sz="0" w:space="0" w:color="auto"/>
        <w:bottom w:val="none" w:sz="0" w:space="0" w:color="auto"/>
        <w:right w:val="none" w:sz="0" w:space="0" w:color="auto"/>
      </w:divBdr>
      <w:divsChild>
        <w:div w:id="988166505">
          <w:marLeft w:val="0"/>
          <w:marRight w:val="0"/>
          <w:marTop w:val="0"/>
          <w:marBottom w:val="0"/>
          <w:divBdr>
            <w:top w:val="none" w:sz="0" w:space="0" w:color="auto"/>
            <w:left w:val="none" w:sz="0" w:space="0" w:color="auto"/>
            <w:bottom w:val="none" w:sz="0" w:space="0" w:color="auto"/>
            <w:right w:val="none" w:sz="0" w:space="0" w:color="auto"/>
          </w:divBdr>
          <w:divsChild>
            <w:div w:id="446775329">
              <w:marLeft w:val="0"/>
              <w:marRight w:val="0"/>
              <w:marTop w:val="0"/>
              <w:marBottom w:val="0"/>
              <w:divBdr>
                <w:top w:val="none" w:sz="0" w:space="0" w:color="auto"/>
                <w:left w:val="none" w:sz="0" w:space="0" w:color="auto"/>
                <w:bottom w:val="none" w:sz="0" w:space="0" w:color="auto"/>
                <w:right w:val="none" w:sz="0" w:space="0" w:color="auto"/>
              </w:divBdr>
              <w:divsChild>
                <w:div w:id="1001742383">
                  <w:marLeft w:val="0"/>
                  <w:marRight w:val="0"/>
                  <w:marTop w:val="0"/>
                  <w:marBottom w:val="0"/>
                  <w:divBdr>
                    <w:top w:val="none" w:sz="0" w:space="0" w:color="auto"/>
                    <w:left w:val="none" w:sz="0" w:space="0" w:color="auto"/>
                    <w:bottom w:val="none" w:sz="0" w:space="0" w:color="auto"/>
                    <w:right w:val="none" w:sz="0" w:space="0" w:color="auto"/>
                  </w:divBdr>
                  <w:divsChild>
                    <w:div w:id="1832406153">
                      <w:marLeft w:val="0"/>
                      <w:marRight w:val="0"/>
                      <w:marTop w:val="0"/>
                      <w:marBottom w:val="0"/>
                      <w:divBdr>
                        <w:top w:val="none" w:sz="0" w:space="0" w:color="auto"/>
                        <w:left w:val="none" w:sz="0" w:space="0" w:color="auto"/>
                        <w:bottom w:val="none" w:sz="0" w:space="0" w:color="auto"/>
                        <w:right w:val="none" w:sz="0" w:space="0" w:color="auto"/>
                      </w:divBdr>
                      <w:divsChild>
                        <w:div w:id="63182672">
                          <w:marLeft w:val="0"/>
                          <w:marRight w:val="0"/>
                          <w:marTop w:val="0"/>
                          <w:marBottom w:val="240"/>
                          <w:divBdr>
                            <w:top w:val="single" w:sz="6" w:space="0" w:color="FFFFFF"/>
                            <w:left w:val="single" w:sz="6" w:space="0" w:color="FFFFFF"/>
                            <w:bottom w:val="single" w:sz="6" w:space="0" w:color="FFFFFF"/>
                            <w:right w:val="single" w:sz="6" w:space="8" w:color="FFFFFF"/>
                          </w:divBdr>
                        </w:div>
                      </w:divsChild>
                    </w:div>
                  </w:divsChild>
                </w:div>
              </w:divsChild>
            </w:div>
          </w:divsChild>
        </w:div>
      </w:divsChild>
    </w:div>
    <w:div w:id="2048137560">
      <w:bodyDiv w:val="1"/>
      <w:marLeft w:val="0"/>
      <w:marRight w:val="0"/>
      <w:marTop w:val="0"/>
      <w:marBottom w:val="0"/>
      <w:divBdr>
        <w:top w:val="none" w:sz="0" w:space="0" w:color="auto"/>
        <w:left w:val="none" w:sz="0" w:space="0" w:color="auto"/>
        <w:bottom w:val="none" w:sz="0" w:space="0" w:color="auto"/>
        <w:right w:val="none" w:sz="0" w:space="0" w:color="auto"/>
      </w:divBdr>
    </w:div>
    <w:div w:id="2113281405">
      <w:bodyDiv w:val="1"/>
      <w:marLeft w:val="0"/>
      <w:marRight w:val="0"/>
      <w:marTop w:val="0"/>
      <w:marBottom w:val="0"/>
      <w:divBdr>
        <w:top w:val="none" w:sz="0" w:space="0" w:color="auto"/>
        <w:left w:val="none" w:sz="0" w:space="0" w:color="auto"/>
        <w:bottom w:val="none" w:sz="0" w:space="0" w:color="auto"/>
        <w:right w:val="none" w:sz="0" w:space="0" w:color="auto"/>
      </w:divBdr>
    </w:div>
    <w:div w:id="213825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falls-applying-all-our-health/falls-applying-all-our-health" TargetMode="External"/><Relationship Id="rId18" Type="http://schemas.openxmlformats.org/officeDocument/2006/relationships/hyperlink" Target="https://assets.publishing.service.gov.uk/government/uploads/system/uploads/attachment_data/file/633104/return_on_investment_tool_in_primary_prevention_of_dementia.pdf" TargetMode="External"/><Relationship Id="rId26" Type="http://schemas.openxmlformats.org/officeDocument/2006/relationships/hyperlink" Target="https://fingertips.phe.org.uk/profile-group/mental-health/profile/dementia" TargetMode="External"/><Relationship Id="rId39" Type="http://schemas.openxmlformats.org/officeDocument/2006/relationships/hyperlink" Target="https://www.gov.uk/guidance/dementia-data-and-analysis-a-guide-for-health-professionals" TargetMode="External"/><Relationship Id="rId21" Type="http://schemas.openxmlformats.org/officeDocument/2006/relationships/hyperlink" Target="http://www.who.int/ageing/WHO-GSAP-2017.pdf?ua=1" TargetMode="External"/><Relationship Id="rId34" Type="http://schemas.openxmlformats.org/officeDocument/2006/relationships/hyperlink" Target="https://www.gov.uk/government/publications/falls-and-fractures-consensus-statement" TargetMode="External"/><Relationship Id="rId42" Type="http://schemas.openxmlformats.org/officeDocument/2006/relationships/hyperlink" Target="https://www.gov.uk/government/publications/dementia-friendly-health-and-social-care-environments-hbn-08-02" TargetMode="External"/><Relationship Id="rId47" Type="http://schemas.openxmlformats.org/officeDocument/2006/relationships/hyperlink" Target="https://www.nice.org.uk/guidance/ng97" TargetMode="External"/><Relationship Id="rId50" Type="http://schemas.openxmlformats.org/officeDocument/2006/relationships/hyperlink" Target="https://www.nice.org.uk/Guidance/NG21" TargetMode="External"/><Relationship Id="rId55" Type="http://schemas.openxmlformats.org/officeDocument/2006/relationships/hyperlink" Target="https://www.nice.org.uk/guidance/ng16" TargetMode="External"/><Relationship Id="rId63" Type="http://schemas.openxmlformats.org/officeDocument/2006/relationships/hyperlink" Target="https://campaignresources.phe.gov.uk/resources/campaigns" TargetMode="External"/><Relationship Id="rId68" Type="http://schemas.openxmlformats.org/officeDocument/2006/relationships/hyperlink" Target="https://www.nhs.uk/oneyou/be-healthier/check-your-health/heart-age-test/"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geing-better.org.uk/sites/default/files/2018-07/Ageing-Better-Transforming-Later-Lives.pdf" TargetMode="External"/><Relationship Id="rId29" Type="http://schemas.openxmlformats.org/officeDocument/2006/relationships/hyperlink" Target="https://www.gov.uk/government/publications/after-a-diagnosis-of-dementia-what-to-expect-from-health-and-care-services/after-diagnosis-of-dementia-what-to-expect-from-health-and-care-services" TargetMode="External"/><Relationship Id="rId11" Type="http://schemas.openxmlformats.org/officeDocument/2006/relationships/hyperlink" Target="https://www.gov.uk/government/publications/all-our-health-about-the-framework/all-our-health-about-the-framework" TargetMode="External"/><Relationship Id="rId24" Type="http://schemas.openxmlformats.org/officeDocument/2006/relationships/hyperlink" Target="https://www.gov.uk/government/publications/challenge-on-dementia-2020-implementation-plan" TargetMode="External"/><Relationship Id="rId32" Type="http://schemas.openxmlformats.org/officeDocument/2006/relationships/hyperlink" Target="https://www.gov.uk/government/publications/musculoskeletal-conditions-return-on-investment-tool" TargetMode="External"/><Relationship Id="rId37" Type="http://schemas.openxmlformats.org/officeDocument/2006/relationships/hyperlink" Target="https://www.england.nhs.uk/wp-content/uploads/2017/03/toolkit-general-practice-frailty.pdf" TargetMode="External"/><Relationship Id="rId40" Type="http://schemas.openxmlformats.org/officeDocument/2006/relationships/hyperlink" Target="https://www.gov.uk/government/publications/health-matters-midlife-approaches-to-reduce-dementia-risk/health-matters-midlife-approaches-to-reduce-dementia-risk" TargetMode="External"/><Relationship Id="rId45" Type="http://schemas.openxmlformats.org/officeDocument/2006/relationships/hyperlink" Target="https://www.nice.org.uk/guidance/qs1" TargetMode="External"/><Relationship Id="rId53" Type="http://schemas.openxmlformats.org/officeDocument/2006/relationships/hyperlink" Target="https://www.nice.org.uk/guidance/qs132" TargetMode="External"/><Relationship Id="rId58" Type="http://schemas.openxmlformats.org/officeDocument/2006/relationships/hyperlink" Target="https://campaignresources.phe.gov.uk/resources/campaigns/81-help-us-help-you" TargetMode="External"/><Relationship Id="rId66" Type="http://schemas.openxmlformats.org/officeDocument/2006/relationships/hyperlink" Target="https://www.nhs.uk/oneyou/for-your-body/eat-better/" TargetMode="External"/><Relationship Id="rId5" Type="http://schemas.openxmlformats.org/officeDocument/2006/relationships/webSettings" Target="webSettings.xml"/><Relationship Id="rId15" Type="http://schemas.openxmlformats.org/officeDocument/2006/relationships/hyperlink" Target="https://www.gov.uk/government/publications/industrial-strategy-the-grand-challenges/missions" TargetMode="External"/><Relationship Id="rId23" Type="http://schemas.openxmlformats.org/officeDocument/2006/relationships/hyperlink" Target="https://assets.publishing.service.gov.uk/government/uploads/system/uploads/attachment_data/file/414344/pm-dementia2020.pdf" TargetMode="External"/><Relationship Id="rId28" Type="http://schemas.openxmlformats.org/officeDocument/2006/relationships/hyperlink" Target="https://www.healthcheck.nhs.uk/commissioners_and_providers/training/dementia_training/" TargetMode="External"/><Relationship Id="rId36" Type="http://schemas.openxmlformats.org/officeDocument/2006/relationships/hyperlink" Target="https://www.alzheimersresearchuk.org/wp-content/uploads/2018/05/RRD-0717-0719_MAR2018_WEB.pdf" TargetMode="External"/><Relationship Id="rId49" Type="http://schemas.openxmlformats.org/officeDocument/2006/relationships/hyperlink" Target="https://www.nice.org.uk/guidance/ng32" TargetMode="External"/><Relationship Id="rId57" Type="http://schemas.openxmlformats.org/officeDocument/2006/relationships/hyperlink" Target="https://www.alzheimers.org.uk/get-involved/dementia-friendly-communities" TargetMode="External"/><Relationship Id="rId61" Type="http://schemas.openxmlformats.org/officeDocument/2006/relationships/hyperlink" Target="https://www.nhs.uk/oneyou" TargetMode="External"/><Relationship Id="rId10" Type="http://schemas.openxmlformats.org/officeDocument/2006/relationships/hyperlink" Target="https://www.gov.uk/government/collections/all-our-health-personalised-care-and-population-health" TargetMode="External"/><Relationship Id="rId19" Type="http://schemas.openxmlformats.org/officeDocument/2006/relationships/hyperlink" Target="https://assets.publishing.service.gov.uk/government/uploads/system/uploads/attachment_data/file/633096/effect_of_midlife_risk_factors_on_dementia_in_older_age.pdf" TargetMode="External"/><Relationship Id="rId31" Type="http://schemas.openxmlformats.org/officeDocument/2006/relationships/hyperlink" Target="https://www.england.nhs.uk/wp-content/uploads/2018/04/my-future-wishes-advance-care-planning-for-people-with-dementia.pdf" TargetMode="External"/><Relationship Id="rId44" Type="http://schemas.openxmlformats.org/officeDocument/2006/relationships/hyperlink" Target="https://www.nice.org.uk/guidance/qs30" TargetMode="External"/><Relationship Id="rId52" Type="http://schemas.openxmlformats.org/officeDocument/2006/relationships/hyperlink" Target="https://www.nice.org.uk/guidance/qs137" TargetMode="External"/><Relationship Id="rId60" Type="http://schemas.openxmlformats.org/officeDocument/2006/relationships/hyperlink" Target="https://www.nhs.uk/conditions/nhs-health-check/" TargetMode="External"/><Relationship Id="rId65" Type="http://schemas.openxmlformats.org/officeDocument/2006/relationships/hyperlink" Target="https://www.nhs.uk/oneyou/for-your-body/move-mor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a-connected-society-a-strategy-for-tackling-loneliness" TargetMode="External"/><Relationship Id="rId14" Type="http://schemas.openxmlformats.org/officeDocument/2006/relationships/hyperlink" Target="http://www.adph.org.uk/wp-content/uploads/2018/05/ADPH-Position-Statement-Healthy-Ageing.pdf" TargetMode="External"/><Relationship Id="rId22" Type="http://schemas.openxmlformats.org/officeDocument/2006/relationships/hyperlink" Target="https://assets.publishing.service.gov.uk/government/uploads/system/uploads/attachment_data/file/571471/changing_risk_cognitive_health_report.pdf" TargetMode="External"/><Relationship Id="rId27" Type="http://schemas.openxmlformats.org/officeDocument/2006/relationships/hyperlink" Target="https://fingertips.phe.org.uk/profile/older-people-health" TargetMode="External"/><Relationship Id="rId30" Type="http://schemas.openxmlformats.org/officeDocument/2006/relationships/hyperlink" Target="https://www.gov.uk/government/publications/falls-prevention-cost-effective-commissioning" TargetMode="External"/><Relationship Id="rId35" Type="http://schemas.openxmlformats.org/officeDocument/2006/relationships/hyperlink" Target="https://www.england.nhs.uk/wp-content/uploads/2018/01/implementation-guide-and-resource-pack-dementia-guide.pdf" TargetMode="External"/><Relationship Id="rId43" Type="http://schemas.openxmlformats.org/officeDocument/2006/relationships/hyperlink" Target="https://www.nice.org.uk/guidance/indevelopment/gid-qs10079" TargetMode="External"/><Relationship Id="rId48" Type="http://schemas.openxmlformats.org/officeDocument/2006/relationships/hyperlink" Target="https://www.nice.org.uk/guidance/PH16" TargetMode="External"/><Relationship Id="rId56" Type="http://schemas.openxmlformats.org/officeDocument/2006/relationships/hyperlink" Target="https://www.dementiafriends.org.uk/" TargetMode="External"/><Relationship Id="rId64" Type="http://schemas.openxmlformats.org/officeDocument/2006/relationships/hyperlink" Target="https://www.nhs.uk/oneyou/for-your-body/drink-less/" TargetMode="External"/><Relationship Id="rId69"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nice.org.uk/guidance/qs86"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government/publications/dementia-applying-all-our-health/dementia-applying-all-our-health" TargetMode="External"/><Relationship Id="rId17" Type="http://schemas.openxmlformats.org/officeDocument/2006/relationships/hyperlink" Target="https://assets.publishing.service.gov.uk/government/uploads/system/uploads/attachment_data/file/633100/primary_prevention_of_dementia_barriers_and_facilitators.pdf" TargetMode="External"/><Relationship Id="rId25" Type="http://schemas.openxmlformats.org/officeDocument/2006/relationships/hyperlink" Target="https://assets.publishing.service.gov.uk/government/uploads/system/uploads/attachment_data/file/654806/CMO_baby_boomers_annual_report_2015.pdf" TargetMode="External"/><Relationship Id="rId33" Type="http://schemas.openxmlformats.org/officeDocument/2006/relationships/hyperlink" Target="https://www.gov.uk/government/publications/productive-healthy-ageing-and-musculoskeletal-health/productive-healthy-ageing-and-musculoskeletal-msk-health" TargetMode="External"/><Relationship Id="rId38" Type="http://schemas.openxmlformats.org/officeDocument/2006/relationships/hyperlink" Target="https://www.england.nhs.uk/wp-content/uploads/2017/11/dementia-good-care-planning-v2.pdf" TargetMode="External"/><Relationship Id="rId46" Type="http://schemas.openxmlformats.org/officeDocument/2006/relationships/hyperlink" Target="https://www.nice.org.uk/guidance/qs50" TargetMode="External"/><Relationship Id="rId59" Type="http://schemas.openxmlformats.org/officeDocument/2006/relationships/hyperlink" Target="https://campaignresources.phe.gov.uk/resources/campaigns/72-diabetes-prevention-week/overview" TargetMode="External"/><Relationship Id="rId67" Type="http://schemas.openxmlformats.org/officeDocument/2006/relationships/hyperlink" Target="https://www.nhs.uk/oneyou/for-your-body/quit-smoking/" TargetMode="External"/><Relationship Id="rId20" Type="http://schemas.openxmlformats.org/officeDocument/2006/relationships/hyperlink" Target="https://assets.publishing.service.gov.uk/government/uploads/system/uploads/attachment_data/file/633098/effect_of_mid_life_risk_factors_on_dementia_in_older_age_key_messages.pdf" TargetMode="External"/><Relationship Id="rId41" Type="http://schemas.openxmlformats.org/officeDocument/2006/relationships/hyperlink" Target="https://www.england.nhs.uk/wp-content/uploads/2015/09/hlthy-ageing-brochr.pdf" TargetMode="External"/><Relationship Id="rId54" Type="http://schemas.openxmlformats.org/officeDocument/2006/relationships/hyperlink" Target="https://www.nice.org.uk/guidance/cg161" TargetMode="External"/><Relationship Id="rId62" Type="http://schemas.openxmlformats.org/officeDocument/2006/relationships/hyperlink" Target="https://www.nhs.uk/oneyou/apps/"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smeeth\Desktop\Obes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AC932B-453B-4702-88BC-DE262937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Obesity Template</Template>
  <TotalTime>0</TotalTime>
  <Pages>7</Pages>
  <Words>3755</Words>
  <Characters>21407</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Factsheet</vt:lpstr>
    </vt:vector>
  </TitlesOfParts>
  <Company>Public Health England</Company>
  <LinksUpToDate>false</LinksUpToDate>
  <CharactersWithSpaces>25112</CharactersWithSpaces>
  <SharedDoc>false</SharedDoc>
  <HyperlinkBase/>
  <HLinks>
    <vt:vector size="18" baseType="variant">
      <vt:variant>
        <vt:i4>5439529</vt:i4>
      </vt:variant>
      <vt:variant>
        <vt:i4>3</vt:i4>
      </vt:variant>
      <vt:variant>
        <vt:i4>0</vt:i4>
      </vt:variant>
      <vt:variant>
        <vt:i4>5</vt:i4>
      </vt:variant>
      <vt:variant>
        <vt:lpwstr>mailto:publications@phe.gov.uk</vt:lpwstr>
      </vt:variant>
      <vt:variant>
        <vt:lpwstr/>
      </vt:variant>
      <vt:variant>
        <vt:i4>3670022</vt:i4>
      </vt:variant>
      <vt:variant>
        <vt:i4>0</vt:i4>
      </vt:variant>
      <vt:variant>
        <vt:i4>0</vt:i4>
      </vt:variant>
      <vt:variant>
        <vt:i4>5</vt:i4>
      </vt:variant>
      <vt:variant>
        <vt:lpwstr>mailto:psi@nationalarchives.gsi.gov.uk</vt:lpwstr>
      </vt:variant>
      <vt:variant>
        <vt:lpwstr/>
      </vt:variant>
      <vt:variant>
        <vt:i4>5374036</vt:i4>
      </vt:variant>
      <vt:variant>
        <vt:i4>-1</vt:i4>
      </vt:variant>
      <vt:variant>
        <vt:i4>2054</vt:i4>
      </vt:variant>
      <vt:variant>
        <vt:i4>1</vt:i4>
      </vt:variant>
      <vt:variant>
        <vt:lpwstr>close crop Logo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creator>Steve Smeeth</dc:creator>
  <cp:lastModifiedBy>Fennie Gibbs</cp:lastModifiedBy>
  <cp:revision>2</cp:revision>
  <cp:lastPrinted>2017-11-17T10:36:00Z</cp:lastPrinted>
  <dcterms:created xsi:type="dcterms:W3CDTF">2018-12-06T14:26:00Z</dcterms:created>
  <dcterms:modified xsi:type="dcterms:W3CDTF">2018-12-06T14:26:00Z</dcterms:modified>
</cp:coreProperties>
</file>