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54704292"/>
        <w:docPartObj>
          <w:docPartGallery w:val="Cover Pages"/>
          <w:docPartUnique/>
        </w:docPartObj>
      </w:sdtPr>
      <w:sdtEndPr/>
      <w:sdtContent>
        <w:p w14:paraId="41E099CA" w14:textId="7B03396D" w:rsidR="00E03083" w:rsidRDefault="00E03083">
          <w:r>
            <w:rPr>
              <w:noProof/>
            </w:rPr>
            <w:drawing>
              <wp:inline distT="0" distB="0" distL="0" distR="0" wp14:anchorId="5E862DE2" wp14:editId="5C9B1FB3">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E03083" w:rsidRPr="00D61E62" w14:paraId="11B23FDD" w14:textId="77777777" w:rsidTr="008B770A">
            <w:trPr>
              <w:trHeight w:val="53"/>
            </w:trPr>
            <w:tc>
              <w:tcPr>
                <w:tcW w:w="8025" w:type="dxa"/>
                <w:tcMar>
                  <w:top w:w="216" w:type="dxa"/>
                  <w:left w:w="115" w:type="dxa"/>
                  <w:bottom w:w="216" w:type="dxa"/>
                  <w:right w:w="115" w:type="dxa"/>
                </w:tcMar>
              </w:tcPr>
              <w:p w14:paraId="6078B485" w14:textId="77777777" w:rsidR="00E03083" w:rsidRPr="00D61E62" w:rsidRDefault="00E03083">
                <w:pPr>
                  <w:pStyle w:val="NoSpacing"/>
                  <w:rPr>
                    <w:color w:val="002060"/>
                    <w:sz w:val="24"/>
                  </w:rPr>
                </w:pPr>
              </w:p>
            </w:tc>
          </w:tr>
          <w:tr w:rsidR="00E03083" w:rsidRPr="00D61E62" w14:paraId="49818986" w14:textId="77777777" w:rsidTr="008B770A">
            <w:trPr>
              <w:trHeight w:val="392"/>
            </w:trPr>
            <w:tc>
              <w:tcPr>
                <w:tcW w:w="8025" w:type="dxa"/>
              </w:tcPr>
              <w:sdt>
                <w:sdtPr>
                  <w:rPr>
                    <w:rFonts w:ascii="Arial" w:eastAsiaTheme="majorEastAsia" w:hAnsi="Arial" w:cs="Arial"/>
                    <w:color w:val="002060"/>
                    <w:sz w:val="72"/>
                    <w:szCs w:val="72"/>
                  </w:rPr>
                  <w:alias w:val="Title"/>
                  <w:id w:val="13406919"/>
                  <w:placeholder>
                    <w:docPart w:val="C72BC49A0A9C45019F55DE432F51A6EC"/>
                  </w:placeholder>
                  <w:dataBinding w:prefixMappings="xmlns:ns0='http://schemas.openxmlformats.org/package/2006/metadata/core-properties' xmlns:ns1='http://purl.org/dc/elements/1.1/'" w:xpath="/ns0:coreProperties[1]/ns1:title[1]" w:storeItemID="{6C3C8BC8-F283-45AE-878A-BAB7291924A1}"/>
                  <w:text/>
                </w:sdtPr>
                <w:sdtEndPr/>
                <w:sdtContent>
                  <w:p w14:paraId="7E48CA30" w14:textId="661DAE00" w:rsidR="00E03083" w:rsidRPr="00BE530D" w:rsidRDefault="00BE530D">
                    <w:pPr>
                      <w:pStyle w:val="NoSpacing"/>
                      <w:spacing w:line="216" w:lineRule="auto"/>
                      <w:rPr>
                        <w:rFonts w:ascii="Arial" w:eastAsiaTheme="majorEastAsia" w:hAnsi="Arial" w:cs="Arial"/>
                        <w:color w:val="002060"/>
                        <w:sz w:val="72"/>
                        <w:szCs w:val="72"/>
                      </w:rPr>
                    </w:pPr>
                    <w:r w:rsidRPr="00BE530D">
                      <w:rPr>
                        <w:rFonts w:ascii="Arial" w:eastAsiaTheme="majorEastAsia" w:hAnsi="Arial" w:cs="Arial"/>
                        <w:color w:val="002060"/>
                        <w:sz w:val="72"/>
                        <w:szCs w:val="72"/>
                      </w:rPr>
                      <w:t>Investigations Work – Considering Cases in a Regulatory Framework</w:t>
                    </w:r>
                  </w:p>
                </w:sdtContent>
              </w:sdt>
            </w:tc>
          </w:tr>
          <w:tr w:rsidR="00E03083" w:rsidRPr="00D61E62" w14:paraId="6ACBB566" w14:textId="77777777" w:rsidTr="008B770A">
            <w:trPr>
              <w:trHeight w:val="392"/>
            </w:trPr>
            <w:tc>
              <w:tcPr>
                <w:tcW w:w="8025" w:type="dxa"/>
              </w:tcPr>
              <w:p w14:paraId="0985BDB6" w14:textId="77777777" w:rsidR="00E03083" w:rsidRPr="00D61E62" w:rsidRDefault="00E03083">
                <w:pPr>
                  <w:pStyle w:val="NoSpacing"/>
                  <w:spacing w:line="216" w:lineRule="auto"/>
                  <w:rPr>
                    <w:rFonts w:ascii="Arial" w:eastAsiaTheme="majorEastAsia" w:hAnsi="Arial" w:cs="Arial"/>
                    <w:color w:val="002060"/>
                    <w:sz w:val="88"/>
                    <w:szCs w:val="88"/>
                  </w:rPr>
                </w:pPr>
              </w:p>
            </w:tc>
          </w:tr>
          <w:tr w:rsidR="00E03083" w:rsidRPr="00D61E62" w14:paraId="6D3340D9" w14:textId="77777777" w:rsidTr="008B770A">
            <w:trPr>
              <w:trHeight w:val="89"/>
            </w:trPr>
            <w:sdt>
              <w:sdtPr>
                <w:rPr>
                  <w:rFonts w:ascii="Arial" w:hAnsi="Arial" w:cs="Arial"/>
                  <w:color w:val="002060"/>
                  <w:sz w:val="56"/>
                  <w:szCs w:val="56"/>
                </w:rPr>
                <w:alias w:val="Subtitle"/>
                <w:id w:val="13406923"/>
                <w:placeholder>
                  <w:docPart w:val="9F33CEA737F4408A8B8A2115547FFC71"/>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23FAF26F" w14:textId="6028C53A" w:rsidR="00E03083" w:rsidRPr="00D61E62" w:rsidRDefault="00BE530D">
                    <w:pPr>
                      <w:pStyle w:val="NoSpacing"/>
                      <w:rPr>
                        <w:color w:val="002060"/>
                        <w:sz w:val="24"/>
                      </w:rPr>
                    </w:pPr>
                    <w:r>
                      <w:rPr>
                        <w:rFonts w:ascii="Arial" w:hAnsi="Arial" w:cs="Arial"/>
                        <w:color w:val="002060"/>
                        <w:sz w:val="56"/>
                        <w:szCs w:val="56"/>
                      </w:rPr>
                      <w:t>OG117-2</w:t>
                    </w:r>
                  </w:p>
                </w:tc>
              </w:sdtContent>
            </w:sdt>
          </w:tr>
          <w:tr w:rsidR="00E03083" w:rsidRPr="00D61E62" w14:paraId="2F774D64" w14:textId="77777777" w:rsidTr="008B770A">
            <w:trPr>
              <w:trHeight w:val="89"/>
            </w:trPr>
            <w:tc>
              <w:tcPr>
                <w:tcW w:w="8025" w:type="dxa"/>
                <w:tcMar>
                  <w:top w:w="216" w:type="dxa"/>
                  <w:left w:w="115" w:type="dxa"/>
                  <w:bottom w:w="216" w:type="dxa"/>
                  <w:right w:w="115" w:type="dxa"/>
                </w:tcMar>
              </w:tcPr>
              <w:p w14:paraId="624BAB55" w14:textId="77777777" w:rsidR="00E03083" w:rsidRDefault="00E03083">
                <w:pPr>
                  <w:pStyle w:val="NoSpacing"/>
                  <w:rPr>
                    <w:rFonts w:ascii="Arial" w:hAnsi="Arial" w:cs="Arial"/>
                    <w:color w:val="002060"/>
                    <w:sz w:val="40"/>
                    <w:szCs w:val="40"/>
                  </w:rPr>
                </w:pPr>
              </w:p>
              <w:p w14:paraId="0BF8C84E" w14:textId="77777777" w:rsidR="00E03083" w:rsidRDefault="00E03083">
                <w:pPr>
                  <w:pStyle w:val="NoSpacing"/>
                  <w:rPr>
                    <w:rFonts w:ascii="Arial" w:hAnsi="Arial" w:cs="Arial"/>
                    <w:color w:val="002060"/>
                    <w:sz w:val="40"/>
                    <w:szCs w:val="40"/>
                  </w:rPr>
                </w:pPr>
              </w:p>
              <w:p w14:paraId="62290571" w14:textId="7E960B83" w:rsidR="00E03083" w:rsidRDefault="00E03083">
                <w:pPr>
                  <w:pStyle w:val="NoSpacing"/>
                  <w:rPr>
                    <w:rFonts w:ascii="Arial" w:hAnsi="Arial" w:cs="Arial"/>
                    <w:color w:val="002060"/>
                    <w:sz w:val="40"/>
                    <w:szCs w:val="40"/>
                  </w:rPr>
                </w:pPr>
                <w:r>
                  <w:rPr>
                    <w:rFonts w:ascii="Arial" w:hAnsi="Arial" w:cs="Arial"/>
                    <w:color w:val="002060"/>
                    <w:sz w:val="40"/>
                    <w:szCs w:val="40"/>
                  </w:rPr>
                  <w:t>Last Updated:</w:t>
                </w:r>
                <w:r w:rsidR="00BE530D">
                  <w:rPr>
                    <w:rFonts w:ascii="Arial" w:hAnsi="Arial" w:cs="Arial"/>
                    <w:color w:val="002060"/>
                    <w:sz w:val="40"/>
                    <w:szCs w:val="40"/>
                  </w:rPr>
                  <w:t>28/12/2018</w:t>
                </w:r>
              </w:p>
              <w:p w14:paraId="5AC2A73A" w14:textId="77777777" w:rsidR="00E03083" w:rsidRDefault="00E03083">
                <w:pPr>
                  <w:pStyle w:val="NoSpacing"/>
                  <w:rPr>
                    <w:rFonts w:ascii="Arial" w:hAnsi="Arial" w:cs="Arial"/>
                    <w:color w:val="002060"/>
                    <w:sz w:val="40"/>
                    <w:szCs w:val="40"/>
                  </w:rPr>
                </w:pPr>
              </w:p>
              <w:p w14:paraId="78963A7A" w14:textId="77777777" w:rsidR="00E03083" w:rsidRDefault="00E03083">
                <w:pPr>
                  <w:pStyle w:val="NoSpacing"/>
                  <w:rPr>
                    <w:rFonts w:ascii="Arial" w:hAnsi="Arial" w:cs="Arial"/>
                    <w:color w:val="002060"/>
                    <w:sz w:val="40"/>
                    <w:szCs w:val="40"/>
                  </w:rPr>
                </w:pPr>
              </w:p>
              <w:p w14:paraId="364E556E" w14:textId="77777777" w:rsidR="00E03083" w:rsidRDefault="00E03083">
                <w:pPr>
                  <w:pStyle w:val="NoSpacing"/>
                  <w:rPr>
                    <w:rFonts w:ascii="Arial" w:hAnsi="Arial" w:cs="Arial"/>
                    <w:color w:val="002060"/>
                    <w:sz w:val="40"/>
                    <w:szCs w:val="40"/>
                  </w:rPr>
                </w:pPr>
              </w:p>
              <w:p w14:paraId="76302138" w14:textId="39627127" w:rsidR="00E03083" w:rsidRPr="00D61E62" w:rsidRDefault="00E03083">
                <w:pPr>
                  <w:pStyle w:val="NoSpacing"/>
                  <w:rPr>
                    <w:rFonts w:ascii="Arial" w:hAnsi="Arial" w:cs="Arial"/>
                    <w:color w:val="002060"/>
                    <w:sz w:val="40"/>
                    <w:szCs w:val="40"/>
                  </w:rPr>
                </w:pPr>
                <w:r>
                  <w:rPr>
                    <w:rFonts w:ascii="Arial" w:hAnsi="Arial" w:cs="Arial"/>
                    <w:color w:val="002060"/>
                    <w:sz w:val="40"/>
                    <w:szCs w:val="40"/>
                  </w:rPr>
                  <w:t>Last Reviewed:</w:t>
                </w:r>
                <w:r w:rsidR="00BE530D">
                  <w:rPr>
                    <w:rFonts w:ascii="Arial" w:hAnsi="Arial" w:cs="Arial"/>
                    <w:color w:val="002060"/>
                    <w:sz w:val="40"/>
                    <w:szCs w:val="40"/>
                  </w:rPr>
                  <w:t>14/12/2018</w:t>
                </w:r>
              </w:p>
            </w:tc>
          </w:tr>
          <w:tr w:rsidR="00E03083" w:rsidRPr="00D61E62" w14:paraId="6110FAF2" w14:textId="77777777" w:rsidTr="008B770A">
            <w:trPr>
              <w:trHeight w:val="89"/>
            </w:trPr>
            <w:tc>
              <w:tcPr>
                <w:tcW w:w="8025" w:type="dxa"/>
                <w:tcMar>
                  <w:top w:w="216" w:type="dxa"/>
                  <w:left w:w="115" w:type="dxa"/>
                  <w:bottom w:w="216" w:type="dxa"/>
                  <w:right w:w="115" w:type="dxa"/>
                </w:tcMar>
              </w:tcPr>
              <w:p w14:paraId="0EE0CC79" w14:textId="77777777" w:rsidR="00E03083" w:rsidRPr="00D61E62" w:rsidRDefault="00E03083">
                <w:pPr>
                  <w:pStyle w:val="NoSpacing"/>
                  <w:rPr>
                    <w:rFonts w:ascii="Arial" w:hAnsi="Arial" w:cs="Arial"/>
                    <w:color w:val="002060"/>
                    <w:sz w:val="40"/>
                    <w:szCs w:val="40"/>
                  </w:rPr>
                </w:pPr>
              </w:p>
            </w:tc>
          </w:tr>
          <w:tr w:rsidR="00E03083" w:rsidRPr="00D61E62" w14:paraId="10209825" w14:textId="77777777" w:rsidTr="008B770A">
            <w:trPr>
              <w:trHeight w:val="89"/>
            </w:trPr>
            <w:tc>
              <w:tcPr>
                <w:tcW w:w="8025" w:type="dxa"/>
                <w:tcMar>
                  <w:top w:w="216" w:type="dxa"/>
                  <w:left w:w="115" w:type="dxa"/>
                  <w:bottom w:w="216" w:type="dxa"/>
                  <w:right w:w="115" w:type="dxa"/>
                </w:tcMar>
              </w:tcPr>
              <w:p w14:paraId="63781092" w14:textId="77777777" w:rsidR="00E03083" w:rsidRPr="00D61E62" w:rsidRDefault="00E03083">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E03083" w14:paraId="4777EB2E" w14:textId="77777777">
            <w:tc>
              <w:tcPr>
                <w:tcW w:w="7221" w:type="dxa"/>
                <w:tcMar>
                  <w:top w:w="216" w:type="dxa"/>
                  <w:left w:w="115" w:type="dxa"/>
                  <w:bottom w:w="216" w:type="dxa"/>
                  <w:right w:w="115" w:type="dxa"/>
                </w:tcMar>
              </w:tcPr>
              <w:p w14:paraId="4D797485" w14:textId="77777777" w:rsidR="00E03083" w:rsidRDefault="00E03083">
                <w:pPr>
                  <w:pStyle w:val="NoSpacing"/>
                  <w:rPr>
                    <w:color w:val="4472C4" w:themeColor="accent1"/>
                  </w:rPr>
                </w:pPr>
              </w:p>
            </w:tc>
          </w:tr>
        </w:tbl>
        <w:p w14:paraId="7871D40B" w14:textId="4EF07D49" w:rsidR="00E03083" w:rsidRDefault="00E03083">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000000" w:themeColor="text1"/>
          <w:sz w:val="28"/>
          <w:szCs w:val="22"/>
          <w:lang w:val="en-GB"/>
        </w:rPr>
        <w:id w:val="-305702727"/>
        <w:docPartObj>
          <w:docPartGallery w:val="Table of Contents"/>
          <w:docPartUnique/>
        </w:docPartObj>
      </w:sdtPr>
      <w:sdtEndPr>
        <w:rPr>
          <w:b/>
          <w:bCs/>
          <w:noProof/>
        </w:rPr>
      </w:sdtEndPr>
      <w:sdtContent>
        <w:p w14:paraId="6497CCEA" w14:textId="0932AF0A" w:rsidR="00E03083" w:rsidRPr="00E03083" w:rsidRDefault="00E03083">
          <w:pPr>
            <w:pStyle w:val="TOCHeading"/>
            <w:rPr>
              <w:rFonts w:ascii="Arial" w:hAnsi="Arial" w:cs="Arial"/>
              <w:b/>
              <w:bCs/>
              <w:color w:val="000000" w:themeColor="text1"/>
            </w:rPr>
          </w:pPr>
          <w:r w:rsidRPr="00E03083">
            <w:rPr>
              <w:rFonts w:ascii="Arial" w:hAnsi="Arial" w:cs="Arial"/>
              <w:b/>
              <w:bCs/>
              <w:color w:val="000000" w:themeColor="text1"/>
            </w:rPr>
            <w:t>Contents</w:t>
          </w:r>
        </w:p>
        <w:p w14:paraId="6436B6EB" w14:textId="7CC9D019" w:rsidR="0028073C" w:rsidRDefault="00E03083">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505742" w:history="1">
            <w:r w:rsidR="0028073C" w:rsidRPr="006811F0">
              <w:rPr>
                <w:rStyle w:val="Hyperlink"/>
                <w:noProof/>
                <w:lang w:val="en"/>
              </w:rPr>
              <w:t>OG117-2 Investigations Work - Considering Cases in a Regulatory Framework</w:t>
            </w:r>
            <w:r w:rsidR="0028073C">
              <w:rPr>
                <w:noProof/>
                <w:webHidden/>
              </w:rPr>
              <w:tab/>
            </w:r>
            <w:r w:rsidR="0028073C">
              <w:rPr>
                <w:noProof/>
                <w:webHidden/>
              </w:rPr>
              <w:fldChar w:fldCharType="begin"/>
            </w:r>
            <w:r w:rsidR="0028073C">
              <w:rPr>
                <w:noProof/>
                <w:webHidden/>
              </w:rPr>
              <w:instrText xml:space="preserve"> PAGEREF _Toc124505742 \h </w:instrText>
            </w:r>
            <w:r w:rsidR="0028073C">
              <w:rPr>
                <w:noProof/>
                <w:webHidden/>
              </w:rPr>
            </w:r>
            <w:r w:rsidR="0028073C">
              <w:rPr>
                <w:noProof/>
                <w:webHidden/>
              </w:rPr>
              <w:fldChar w:fldCharType="separate"/>
            </w:r>
            <w:r w:rsidR="0028073C">
              <w:rPr>
                <w:noProof/>
                <w:webHidden/>
              </w:rPr>
              <w:t>1</w:t>
            </w:r>
            <w:r w:rsidR="0028073C">
              <w:rPr>
                <w:noProof/>
                <w:webHidden/>
              </w:rPr>
              <w:fldChar w:fldCharType="end"/>
            </w:r>
          </w:hyperlink>
        </w:p>
        <w:p w14:paraId="22143B0D" w14:textId="6904EA7F" w:rsidR="0028073C" w:rsidRDefault="0028073C">
          <w:pPr>
            <w:pStyle w:val="TOC2"/>
            <w:tabs>
              <w:tab w:val="right" w:leader="dot" w:pos="9016"/>
            </w:tabs>
            <w:rPr>
              <w:rFonts w:asciiTheme="minorHAnsi" w:eastAsiaTheme="minorEastAsia" w:hAnsiTheme="minorHAnsi"/>
              <w:noProof/>
              <w:color w:val="auto"/>
              <w:sz w:val="22"/>
              <w:lang w:eastAsia="en-GB"/>
            </w:rPr>
          </w:pPr>
          <w:hyperlink w:anchor="_Toc124505743" w:history="1">
            <w:r w:rsidRPr="006811F0">
              <w:rPr>
                <w:rStyle w:val="Hyperlink"/>
                <w:noProof/>
                <w:lang w:val="en"/>
              </w:rPr>
              <w:t>Policy Statement/Overview</w:t>
            </w:r>
            <w:r>
              <w:rPr>
                <w:noProof/>
                <w:webHidden/>
              </w:rPr>
              <w:tab/>
            </w:r>
            <w:r>
              <w:rPr>
                <w:noProof/>
                <w:webHidden/>
              </w:rPr>
              <w:fldChar w:fldCharType="begin"/>
            </w:r>
            <w:r>
              <w:rPr>
                <w:noProof/>
                <w:webHidden/>
              </w:rPr>
              <w:instrText xml:space="preserve"> PAGEREF _Toc124505743 \h </w:instrText>
            </w:r>
            <w:r>
              <w:rPr>
                <w:noProof/>
                <w:webHidden/>
              </w:rPr>
            </w:r>
            <w:r>
              <w:rPr>
                <w:noProof/>
                <w:webHidden/>
              </w:rPr>
              <w:fldChar w:fldCharType="separate"/>
            </w:r>
            <w:r>
              <w:rPr>
                <w:noProof/>
                <w:webHidden/>
              </w:rPr>
              <w:t>1</w:t>
            </w:r>
            <w:r>
              <w:rPr>
                <w:noProof/>
                <w:webHidden/>
              </w:rPr>
              <w:fldChar w:fldCharType="end"/>
            </w:r>
          </w:hyperlink>
        </w:p>
        <w:p w14:paraId="7D2A27DA" w14:textId="62B1C354"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44" w:history="1">
            <w:r w:rsidRPr="006811F0">
              <w:rPr>
                <w:rStyle w:val="Hyperlink"/>
                <w:noProof/>
                <w:lang w:val="en"/>
              </w:rPr>
              <w:t>Summary of the guidance</w:t>
            </w:r>
            <w:r>
              <w:rPr>
                <w:noProof/>
                <w:webHidden/>
              </w:rPr>
              <w:tab/>
            </w:r>
            <w:r>
              <w:rPr>
                <w:noProof/>
                <w:webHidden/>
              </w:rPr>
              <w:fldChar w:fldCharType="begin"/>
            </w:r>
            <w:r>
              <w:rPr>
                <w:noProof/>
                <w:webHidden/>
              </w:rPr>
              <w:instrText xml:space="preserve"> PAGEREF _Toc124505744 \h </w:instrText>
            </w:r>
            <w:r>
              <w:rPr>
                <w:noProof/>
                <w:webHidden/>
              </w:rPr>
            </w:r>
            <w:r>
              <w:rPr>
                <w:noProof/>
                <w:webHidden/>
              </w:rPr>
              <w:fldChar w:fldCharType="separate"/>
            </w:r>
            <w:r>
              <w:rPr>
                <w:noProof/>
                <w:webHidden/>
              </w:rPr>
              <w:t>1</w:t>
            </w:r>
            <w:r>
              <w:rPr>
                <w:noProof/>
                <w:webHidden/>
              </w:rPr>
              <w:fldChar w:fldCharType="end"/>
            </w:r>
          </w:hyperlink>
        </w:p>
        <w:p w14:paraId="5547D6FF" w14:textId="08004F12" w:rsidR="0028073C" w:rsidRDefault="0028073C">
          <w:pPr>
            <w:pStyle w:val="TOC1"/>
            <w:tabs>
              <w:tab w:val="right" w:leader="dot" w:pos="9016"/>
            </w:tabs>
            <w:rPr>
              <w:rFonts w:asciiTheme="minorHAnsi" w:eastAsiaTheme="minorEastAsia" w:hAnsiTheme="minorHAnsi"/>
              <w:noProof/>
              <w:color w:val="auto"/>
              <w:sz w:val="22"/>
              <w:lang w:eastAsia="en-GB"/>
            </w:rPr>
          </w:pPr>
          <w:hyperlink w:anchor="_Toc124505745" w:history="1">
            <w:r w:rsidRPr="006811F0">
              <w:rPr>
                <w:rStyle w:val="Hyperlink"/>
                <w:noProof/>
                <w:lang w:val="en"/>
              </w:rPr>
              <w:t>Casework Guidance</w:t>
            </w:r>
            <w:r>
              <w:rPr>
                <w:noProof/>
                <w:webHidden/>
              </w:rPr>
              <w:tab/>
            </w:r>
            <w:r>
              <w:rPr>
                <w:noProof/>
                <w:webHidden/>
              </w:rPr>
              <w:fldChar w:fldCharType="begin"/>
            </w:r>
            <w:r>
              <w:rPr>
                <w:noProof/>
                <w:webHidden/>
              </w:rPr>
              <w:instrText xml:space="preserve"> PAGEREF _Toc124505745 \h </w:instrText>
            </w:r>
            <w:r>
              <w:rPr>
                <w:noProof/>
                <w:webHidden/>
              </w:rPr>
            </w:r>
            <w:r>
              <w:rPr>
                <w:noProof/>
                <w:webHidden/>
              </w:rPr>
              <w:fldChar w:fldCharType="separate"/>
            </w:r>
            <w:r>
              <w:rPr>
                <w:noProof/>
                <w:webHidden/>
              </w:rPr>
              <w:t>1</w:t>
            </w:r>
            <w:r>
              <w:rPr>
                <w:noProof/>
                <w:webHidden/>
              </w:rPr>
              <w:fldChar w:fldCharType="end"/>
            </w:r>
          </w:hyperlink>
        </w:p>
        <w:p w14:paraId="400FD7C4" w14:textId="505837A3" w:rsidR="0028073C" w:rsidRDefault="0028073C">
          <w:pPr>
            <w:pStyle w:val="TOC2"/>
            <w:tabs>
              <w:tab w:val="right" w:leader="dot" w:pos="9016"/>
            </w:tabs>
            <w:rPr>
              <w:rFonts w:asciiTheme="minorHAnsi" w:eastAsiaTheme="minorEastAsia" w:hAnsiTheme="minorHAnsi"/>
              <w:noProof/>
              <w:color w:val="auto"/>
              <w:sz w:val="22"/>
              <w:lang w:eastAsia="en-GB"/>
            </w:rPr>
          </w:pPr>
          <w:hyperlink w:anchor="_Toc124505746" w:history="1">
            <w:r w:rsidRPr="006811F0">
              <w:rPr>
                <w:rStyle w:val="Hyperlink"/>
                <w:noProof/>
                <w:lang w:val="en"/>
              </w:rPr>
              <w:t>OG117-2 Considering Cases in a Regulatory Framework</w:t>
            </w:r>
            <w:r>
              <w:rPr>
                <w:noProof/>
                <w:webHidden/>
              </w:rPr>
              <w:tab/>
            </w:r>
            <w:r>
              <w:rPr>
                <w:noProof/>
                <w:webHidden/>
              </w:rPr>
              <w:fldChar w:fldCharType="begin"/>
            </w:r>
            <w:r>
              <w:rPr>
                <w:noProof/>
                <w:webHidden/>
              </w:rPr>
              <w:instrText xml:space="preserve"> PAGEREF _Toc124505746 \h </w:instrText>
            </w:r>
            <w:r>
              <w:rPr>
                <w:noProof/>
                <w:webHidden/>
              </w:rPr>
            </w:r>
            <w:r>
              <w:rPr>
                <w:noProof/>
                <w:webHidden/>
              </w:rPr>
              <w:fldChar w:fldCharType="separate"/>
            </w:r>
            <w:r>
              <w:rPr>
                <w:noProof/>
                <w:webHidden/>
              </w:rPr>
              <w:t>1</w:t>
            </w:r>
            <w:r>
              <w:rPr>
                <w:noProof/>
                <w:webHidden/>
              </w:rPr>
              <w:fldChar w:fldCharType="end"/>
            </w:r>
          </w:hyperlink>
        </w:p>
        <w:p w14:paraId="3AD55FF5" w14:textId="5DE1C7F4"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47" w:history="1">
            <w:r w:rsidRPr="006811F0">
              <w:rPr>
                <w:rStyle w:val="Hyperlink"/>
                <w:noProof/>
                <w:lang w:val="en"/>
              </w:rPr>
              <w:t>OG117-2 14 December 2018</w:t>
            </w:r>
            <w:r>
              <w:rPr>
                <w:noProof/>
                <w:webHidden/>
              </w:rPr>
              <w:tab/>
            </w:r>
            <w:r>
              <w:rPr>
                <w:noProof/>
                <w:webHidden/>
              </w:rPr>
              <w:fldChar w:fldCharType="begin"/>
            </w:r>
            <w:r>
              <w:rPr>
                <w:noProof/>
                <w:webHidden/>
              </w:rPr>
              <w:instrText xml:space="preserve"> PAGEREF _Toc124505747 \h </w:instrText>
            </w:r>
            <w:r>
              <w:rPr>
                <w:noProof/>
                <w:webHidden/>
              </w:rPr>
            </w:r>
            <w:r>
              <w:rPr>
                <w:noProof/>
                <w:webHidden/>
              </w:rPr>
              <w:fldChar w:fldCharType="separate"/>
            </w:r>
            <w:r>
              <w:rPr>
                <w:noProof/>
                <w:webHidden/>
              </w:rPr>
              <w:t>1</w:t>
            </w:r>
            <w:r>
              <w:rPr>
                <w:noProof/>
                <w:webHidden/>
              </w:rPr>
              <w:fldChar w:fldCharType="end"/>
            </w:r>
          </w:hyperlink>
        </w:p>
        <w:p w14:paraId="26CF071B" w14:textId="578A54CA"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48" w:history="1">
            <w:r w:rsidRPr="006811F0">
              <w:rPr>
                <w:rStyle w:val="Hyperlink"/>
                <w:noProof/>
                <w:lang w:val="en"/>
              </w:rPr>
              <w:t>1. The purpose of our regulatory work</w:t>
            </w:r>
            <w:r>
              <w:rPr>
                <w:noProof/>
                <w:webHidden/>
              </w:rPr>
              <w:tab/>
            </w:r>
            <w:r>
              <w:rPr>
                <w:noProof/>
                <w:webHidden/>
              </w:rPr>
              <w:fldChar w:fldCharType="begin"/>
            </w:r>
            <w:r>
              <w:rPr>
                <w:noProof/>
                <w:webHidden/>
              </w:rPr>
              <w:instrText xml:space="preserve"> PAGEREF _Toc124505748 \h </w:instrText>
            </w:r>
            <w:r>
              <w:rPr>
                <w:noProof/>
                <w:webHidden/>
              </w:rPr>
            </w:r>
            <w:r>
              <w:rPr>
                <w:noProof/>
                <w:webHidden/>
              </w:rPr>
              <w:fldChar w:fldCharType="separate"/>
            </w:r>
            <w:r>
              <w:rPr>
                <w:noProof/>
                <w:webHidden/>
              </w:rPr>
              <w:t>1</w:t>
            </w:r>
            <w:r>
              <w:rPr>
                <w:noProof/>
                <w:webHidden/>
              </w:rPr>
              <w:fldChar w:fldCharType="end"/>
            </w:r>
          </w:hyperlink>
        </w:p>
        <w:p w14:paraId="6F506D20" w14:textId="2109DD64"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49" w:history="1">
            <w:r w:rsidRPr="006811F0">
              <w:rPr>
                <w:rStyle w:val="Hyperlink"/>
                <w:noProof/>
                <w:lang w:val="en"/>
              </w:rPr>
              <w:t>2. How we respond to issues of concern</w:t>
            </w:r>
            <w:r>
              <w:rPr>
                <w:noProof/>
                <w:webHidden/>
              </w:rPr>
              <w:tab/>
            </w:r>
            <w:r>
              <w:rPr>
                <w:noProof/>
                <w:webHidden/>
              </w:rPr>
              <w:fldChar w:fldCharType="begin"/>
            </w:r>
            <w:r>
              <w:rPr>
                <w:noProof/>
                <w:webHidden/>
              </w:rPr>
              <w:instrText xml:space="preserve"> PAGEREF _Toc124505749 \h </w:instrText>
            </w:r>
            <w:r>
              <w:rPr>
                <w:noProof/>
                <w:webHidden/>
              </w:rPr>
            </w:r>
            <w:r>
              <w:rPr>
                <w:noProof/>
                <w:webHidden/>
              </w:rPr>
              <w:fldChar w:fldCharType="separate"/>
            </w:r>
            <w:r>
              <w:rPr>
                <w:noProof/>
                <w:webHidden/>
              </w:rPr>
              <w:t>3</w:t>
            </w:r>
            <w:r>
              <w:rPr>
                <w:noProof/>
                <w:webHidden/>
              </w:rPr>
              <w:fldChar w:fldCharType="end"/>
            </w:r>
          </w:hyperlink>
        </w:p>
        <w:p w14:paraId="7B77480D" w14:textId="59DFCBA9"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50" w:history="1">
            <w:r w:rsidRPr="006811F0">
              <w:rPr>
                <w:rStyle w:val="Hyperlink"/>
                <w:noProof/>
                <w:lang w:val="en"/>
              </w:rPr>
              <w:t>3. Those who may be subject to our regulatory action</w:t>
            </w:r>
            <w:r>
              <w:rPr>
                <w:noProof/>
                <w:webHidden/>
              </w:rPr>
              <w:tab/>
            </w:r>
            <w:r>
              <w:rPr>
                <w:noProof/>
                <w:webHidden/>
              </w:rPr>
              <w:fldChar w:fldCharType="begin"/>
            </w:r>
            <w:r>
              <w:rPr>
                <w:noProof/>
                <w:webHidden/>
              </w:rPr>
              <w:instrText xml:space="preserve"> PAGEREF _Toc124505750 \h </w:instrText>
            </w:r>
            <w:r>
              <w:rPr>
                <w:noProof/>
                <w:webHidden/>
              </w:rPr>
            </w:r>
            <w:r>
              <w:rPr>
                <w:noProof/>
                <w:webHidden/>
              </w:rPr>
              <w:fldChar w:fldCharType="separate"/>
            </w:r>
            <w:r>
              <w:rPr>
                <w:noProof/>
                <w:webHidden/>
              </w:rPr>
              <w:t>4</w:t>
            </w:r>
            <w:r>
              <w:rPr>
                <w:noProof/>
                <w:webHidden/>
              </w:rPr>
              <w:fldChar w:fldCharType="end"/>
            </w:r>
          </w:hyperlink>
        </w:p>
        <w:p w14:paraId="2A141C6D" w14:textId="3CA7EA2B" w:rsidR="0028073C" w:rsidRDefault="0028073C">
          <w:pPr>
            <w:pStyle w:val="TOC3"/>
            <w:tabs>
              <w:tab w:val="right" w:leader="dot" w:pos="9016"/>
            </w:tabs>
            <w:rPr>
              <w:rFonts w:asciiTheme="minorHAnsi" w:eastAsiaTheme="minorEastAsia" w:hAnsiTheme="minorHAnsi"/>
              <w:noProof/>
              <w:color w:val="auto"/>
              <w:sz w:val="22"/>
              <w:lang w:eastAsia="en-GB"/>
            </w:rPr>
          </w:pPr>
          <w:hyperlink w:anchor="_Toc124505751" w:history="1">
            <w:r w:rsidRPr="006811F0">
              <w:rPr>
                <w:rStyle w:val="Hyperlink"/>
                <w:noProof/>
                <w:lang w:val="en"/>
              </w:rPr>
              <w:t>4. Confidentiality</w:t>
            </w:r>
            <w:r>
              <w:rPr>
                <w:noProof/>
                <w:webHidden/>
              </w:rPr>
              <w:tab/>
            </w:r>
            <w:r>
              <w:rPr>
                <w:noProof/>
                <w:webHidden/>
              </w:rPr>
              <w:fldChar w:fldCharType="begin"/>
            </w:r>
            <w:r>
              <w:rPr>
                <w:noProof/>
                <w:webHidden/>
              </w:rPr>
              <w:instrText xml:space="preserve"> PAGEREF _Toc124505751 \h </w:instrText>
            </w:r>
            <w:r>
              <w:rPr>
                <w:noProof/>
                <w:webHidden/>
              </w:rPr>
            </w:r>
            <w:r>
              <w:rPr>
                <w:noProof/>
                <w:webHidden/>
              </w:rPr>
              <w:fldChar w:fldCharType="separate"/>
            </w:r>
            <w:r>
              <w:rPr>
                <w:noProof/>
                <w:webHidden/>
              </w:rPr>
              <w:t>6</w:t>
            </w:r>
            <w:r>
              <w:rPr>
                <w:noProof/>
                <w:webHidden/>
              </w:rPr>
              <w:fldChar w:fldCharType="end"/>
            </w:r>
          </w:hyperlink>
        </w:p>
        <w:p w14:paraId="2E9D28F1" w14:textId="60934542" w:rsidR="00E03083" w:rsidRDefault="00E03083">
          <w:r>
            <w:rPr>
              <w:b/>
              <w:bCs/>
              <w:noProof/>
            </w:rPr>
            <w:fldChar w:fldCharType="end"/>
          </w:r>
        </w:p>
      </w:sdtContent>
    </w:sdt>
    <w:p w14:paraId="5E1D2717" w14:textId="77777777" w:rsidR="000B3DEB" w:rsidRPr="000B3DEB" w:rsidRDefault="000B3DEB" w:rsidP="00E03083">
      <w:pPr>
        <w:pStyle w:val="Heading1"/>
        <w:rPr>
          <w:lang w:val="en"/>
        </w:rPr>
      </w:pPr>
      <w:bookmarkStart w:id="0" w:name="_Toc124505742"/>
      <w:r w:rsidRPr="000B3DEB">
        <w:rPr>
          <w:lang w:val="en"/>
        </w:rPr>
        <w:t>OG117-2 Investigations Work - Considering Cases in a Regulatory Framework</w:t>
      </w:r>
      <w:bookmarkEnd w:id="0"/>
    </w:p>
    <w:p w14:paraId="155AD92F" w14:textId="77777777" w:rsidR="000B3DEB" w:rsidRPr="000B3DEB" w:rsidRDefault="000B3DEB" w:rsidP="00E03083">
      <w:pPr>
        <w:pStyle w:val="Heading2"/>
        <w:rPr>
          <w:lang w:val="en"/>
        </w:rPr>
      </w:pPr>
      <w:bookmarkStart w:id="1" w:name="_Toc124505743"/>
      <w:r w:rsidRPr="000B3DEB">
        <w:rPr>
          <w:lang w:val="en"/>
        </w:rPr>
        <w:t>Policy Statement/Overview</w:t>
      </w:r>
      <w:bookmarkEnd w:id="1"/>
    </w:p>
    <w:p w14:paraId="6605F2C9" w14:textId="77777777" w:rsidR="000B3DEB" w:rsidRPr="000B3DEB" w:rsidRDefault="000B3DEB" w:rsidP="00E03083">
      <w:pPr>
        <w:pStyle w:val="Heading3"/>
        <w:rPr>
          <w:lang w:val="en"/>
        </w:rPr>
      </w:pPr>
      <w:bookmarkStart w:id="2" w:name="_Toc124505744"/>
      <w:r w:rsidRPr="000B3DEB">
        <w:rPr>
          <w:lang w:val="en"/>
        </w:rPr>
        <w:t>Summary of the guidance</w:t>
      </w:r>
      <w:bookmarkEnd w:id="2"/>
    </w:p>
    <w:p w14:paraId="0D3FFC90" w14:textId="77777777" w:rsidR="000B3DEB" w:rsidRPr="000B3DEB" w:rsidRDefault="000B3DEB" w:rsidP="00E03083">
      <w:pPr>
        <w:rPr>
          <w:lang w:val="en" w:eastAsia="en-GB"/>
        </w:rPr>
      </w:pPr>
      <w:r w:rsidRPr="000B3DEB">
        <w:rPr>
          <w:lang w:val="en" w:eastAsia="en-GB"/>
        </w:rPr>
        <w:t xml:space="preserve">This guidance looks at how the Commission's structure is set up to fulfill our regulatory role </w:t>
      </w:r>
    </w:p>
    <w:p w14:paraId="32413771" w14:textId="77777777" w:rsidR="000B3DEB" w:rsidRPr="000B3DEB" w:rsidRDefault="000B3DEB" w:rsidP="00E03083">
      <w:pPr>
        <w:pStyle w:val="Heading1"/>
        <w:rPr>
          <w:lang w:val="en"/>
        </w:rPr>
      </w:pPr>
      <w:bookmarkStart w:id="3" w:name="_Toc124505745"/>
      <w:r w:rsidRPr="000B3DEB">
        <w:rPr>
          <w:lang w:val="en"/>
        </w:rPr>
        <w:t>Casework Guidance</w:t>
      </w:r>
      <w:bookmarkEnd w:id="3"/>
      <w:r w:rsidRPr="000B3DEB">
        <w:rPr>
          <w:lang w:val="en"/>
        </w:rPr>
        <w:t xml:space="preserve">   </w:t>
      </w:r>
    </w:p>
    <w:p w14:paraId="0AF8A59F" w14:textId="77777777" w:rsidR="000B3DEB" w:rsidRPr="000B3DEB" w:rsidRDefault="000B3DEB" w:rsidP="00E03083">
      <w:pPr>
        <w:pStyle w:val="Heading2"/>
        <w:rPr>
          <w:lang w:val="en"/>
        </w:rPr>
      </w:pPr>
      <w:bookmarkStart w:id="4" w:name="_Toc124505746"/>
      <w:r w:rsidRPr="000B3DEB">
        <w:rPr>
          <w:lang w:val="en"/>
        </w:rPr>
        <w:t>OG117-2 Considering Cases in a Regulatory Framework</w:t>
      </w:r>
      <w:bookmarkEnd w:id="4"/>
      <w:r w:rsidRPr="000B3DEB">
        <w:rPr>
          <w:lang w:val="en"/>
        </w:rPr>
        <w:t xml:space="preserve"> </w:t>
      </w:r>
    </w:p>
    <w:p w14:paraId="7FF687BE" w14:textId="77777777" w:rsidR="000B3DEB" w:rsidRPr="000B3DEB" w:rsidRDefault="000B3DEB" w:rsidP="00E03083">
      <w:pPr>
        <w:pStyle w:val="Heading3"/>
        <w:rPr>
          <w:lang w:val="en"/>
        </w:rPr>
      </w:pPr>
      <w:bookmarkStart w:id="5" w:name="_Toc124505747"/>
      <w:r w:rsidRPr="000B3DEB">
        <w:rPr>
          <w:lang w:val="en"/>
        </w:rPr>
        <w:t>OG117-2 14 December 2018</w:t>
      </w:r>
      <w:bookmarkEnd w:id="5"/>
      <w:r w:rsidRPr="000B3DEB">
        <w:rPr>
          <w:lang w:val="en"/>
        </w:rPr>
        <w:t xml:space="preserve"> </w:t>
      </w:r>
    </w:p>
    <w:p w14:paraId="2FC29310" w14:textId="77777777" w:rsidR="000B3DEB" w:rsidRPr="000B3DEB" w:rsidRDefault="000B3DEB" w:rsidP="00E03083">
      <w:pPr>
        <w:pStyle w:val="Heading3"/>
        <w:rPr>
          <w:lang w:val="en"/>
        </w:rPr>
      </w:pPr>
      <w:bookmarkStart w:id="6" w:name="_Toc124505748"/>
      <w:r w:rsidRPr="000B3DEB">
        <w:rPr>
          <w:lang w:val="en"/>
        </w:rPr>
        <w:t>1. The purpose of our regulatory work</w:t>
      </w:r>
      <w:bookmarkEnd w:id="6"/>
      <w:r w:rsidRPr="000B3DEB">
        <w:rPr>
          <w:lang w:val="en"/>
        </w:rPr>
        <w:t xml:space="preserve"> </w:t>
      </w:r>
    </w:p>
    <w:p w14:paraId="56909D36" w14:textId="77777777" w:rsidR="000B3DEB" w:rsidRPr="000B3DEB" w:rsidRDefault="000B3DEB" w:rsidP="00E03083">
      <w:pPr>
        <w:rPr>
          <w:lang w:val="en" w:eastAsia="en-GB"/>
        </w:rPr>
      </w:pPr>
      <w:r w:rsidRPr="000B3DEB">
        <w:rPr>
          <w:lang w:val="en" w:eastAsia="en-GB"/>
        </w:rPr>
        <w:t xml:space="preserve">The Charity Commission’s purpose is to ensure that charity can thrive and inspire trust, so that people can improve lives and strengthen society. This underpins our approach to all our regulatory work. We hold charities to account and increase public trust and confidence in them. </w:t>
      </w:r>
    </w:p>
    <w:p w14:paraId="04EBF6A4" w14:textId="77777777" w:rsidR="000B3DEB" w:rsidRPr="000B3DEB" w:rsidRDefault="000B3DEB" w:rsidP="00E03083">
      <w:pPr>
        <w:rPr>
          <w:lang w:val="en" w:eastAsia="en-GB"/>
        </w:rPr>
      </w:pPr>
      <w:r w:rsidRPr="000B3DEB">
        <w:rPr>
          <w:lang w:val="en" w:eastAsia="en-GB"/>
        </w:rPr>
        <w:lastRenderedPageBreak/>
        <w:t xml:space="preserve">We act to protect charities from abuse and mismanagement and to ensure that trustees comply with their legal obligations, and that they do so in the way that the public rightly expects. We </w:t>
      </w:r>
      <w:proofErr w:type="spellStart"/>
      <w:r w:rsidRPr="000B3DEB">
        <w:rPr>
          <w:lang w:val="en" w:eastAsia="en-GB"/>
        </w:rPr>
        <w:t>prioritise</w:t>
      </w:r>
      <w:proofErr w:type="spellEnd"/>
      <w:r w:rsidRPr="000B3DEB">
        <w:rPr>
          <w:lang w:val="en" w:eastAsia="en-GB"/>
        </w:rPr>
        <w:t xml:space="preserve"> our resources where our intervention will have the most impact, and we place an increasing emphasis on preventing problems through our proactive work to identify and address problems in charities. </w:t>
      </w:r>
    </w:p>
    <w:p w14:paraId="6B6192C5" w14:textId="0DE37F72" w:rsidR="000B3DEB" w:rsidRPr="000B3DEB" w:rsidRDefault="000B3DEB" w:rsidP="00E03083">
      <w:pPr>
        <w:rPr>
          <w:lang w:val="en" w:eastAsia="en-GB"/>
        </w:rPr>
      </w:pPr>
      <w:r w:rsidRPr="000B3DEB">
        <w:rPr>
          <w:lang w:val="en" w:eastAsia="en-GB"/>
        </w:rPr>
        <w:t xml:space="preserve">We decide if an issue is within our regulatory remit by first considering whether it falls within our statutory objectives and functions. If we decide that we do have a regulatory role, we consider the appropriate engagement based on our assessment of the nature and level of risk as set out in our </w:t>
      </w:r>
      <w:bookmarkStart w:id="7" w:name="_Hlk200533946"/>
      <w:r w:rsidR="004F4184">
        <w:rPr>
          <w:rFonts w:ascii="Times New Roman" w:hAnsi="Times New Roman" w:cs="Times New Roman"/>
          <w:lang w:eastAsia="en-GB"/>
        </w:rPr>
        <w:fldChar w:fldCharType="begin"/>
      </w:r>
      <w:r w:rsidR="004F4184">
        <w:rPr>
          <w:rFonts w:ascii="Times New Roman" w:hAnsi="Times New Roman" w:cs="Times New Roman"/>
          <w:lang w:eastAsia="en-GB"/>
        </w:rPr>
        <w:instrText>HYPERLINK "https://www.gov.uk/government/publications/complaints-about-charities"</w:instrText>
      </w:r>
      <w:r w:rsidR="004F4184">
        <w:rPr>
          <w:rFonts w:ascii="Times New Roman" w:hAnsi="Times New Roman" w:cs="Times New Roman"/>
          <w:lang w:eastAsia="en-GB"/>
        </w:rPr>
      </w:r>
      <w:r w:rsidR="004F4184">
        <w:rPr>
          <w:rFonts w:ascii="Times New Roman" w:hAnsi="Times New Roman" w:cs="Times New Roman"/>
          <w:lang w:eastAsia="en-GB"/>
        </w:rPr>
        <w:fldChar w:fldCharType="separate"/>
      </w:r>
      <w:r w:rsidR="004F4184">
        <w:rPr>
          <w:rStyle w:val="Hyperlink"/>
          <w:rFonts w:cs="Arial"/>
          <w:shd w:val="clear" w:color="auto" w:fill="FFFFFF"/>
        </w:rPr>
        <w:t>guidance on </w:t>
      </w:r>
      <w:r w:rsidR="004F4184">
        <w:rPr>
          <w:rStyle w:val="Hyperlink"/>
          <w:rFonts w:cs="Arial"/>
          <w:lang w:val="en"/>
        </w:rPr>
        <w:t>Raising a concern with the Charity Commission</w:t>
      </w:r>
      <w:bookmarkEnd w:id="7"/>
      <w:r w:rsidR="004F4184">
        <w:rPr>
          <w:rFonts w:ascii="Times New Roman" w:hAnsi="Times New Roman" w:cs="Times New Roman"/>
          <w:lang w:eastAsia="en-GB"/>
        </w:rPr>
        <w:fldChar w:fldCharType="end"/>
      </w:r>
      <w:r w:rsidRPr="000B3DEB">
        <w:rPr>
          <w:lang w:val="en" w:eastAsia="en-GB"/>
        </w:rPr>
        <w:t xml:space="preserve">. This explains how we approach </w:t>
      </w:r>
      <w:proofErr w:type="gramStart"/>
      <w:r w:rsidRPr="000B3DEB">
        <w:rPr>
          <w:lang w:val="en" w:eastAsia="en-GB"/>
        </w:rPr>
        <w:t>all of</w:t>
      </w:r>
      <w:proofErr w:type="gramEnd"/>
      <w:r w:rsidRPr="000B3DEB">
        <w:rPr>
          <w:lang w:val="en" w:eastAsia="en-GB"/>
        </w:rPr>
        <w:t xml:space="preserve"> our work and helps ensure that we are proportionate, accountable, consistent, transparent and targeted </w:t>
      </w:r>
    </w:p>
    <w:p w14:paraId="19487B51" w14:textId="77777777" w:rsidR="000B3DEB" w:rsidRPr="000B3DEB" w:rsidRDefault="000B3DEB" w:rsidP="00E03083">
      <w:pPr>
        <w:rPr>
          <w:lang w:val="en" w:eastAsia="en-GB"/>
        </w:rPr>
      </w:pPr>
      <w:r w:rsidRPr="000B3DEB">
        <w:rPr>
          <w:lang w:val="en" w:eastAsia="en-GB"/>
        </w:rPr>
        <w:t xml:space="preserve">Based on our assessment of the nature and level of risk, we will consider the most effective and proportionate way of resolving the issue, and the priority that we should give it. We will also take account of factors such as what external guidance already exists, whether our involvement will have a significant impact on resolving the issue, the resource implications for the Commission and the charity and the likely result of our not acting. </w:t>
      </w:r>
    </w:p>
    <w:p w14:paraId="0CAF8DB3" w14:textId="77777777" w:rsidR="000B3DEB" w:rsidRPr="000B3DEB" w:rsidRDefault="000B3DEB" w:rsidP="00E03083">
      <w:pPr>
        <w:rPr>
          <w:lang w:val="en" w:eastAsia="en-GB"/>
        </w:rPr>
      </w:pPr>
      <w:r w:rsidRPr="000B3DEB">
        <w:rPr>
          <w:lang w:val="en" w:eastAsia="en-GB"/>
        </w:rPr>
        <w:t xml:space="preserve">We have a general statutory function to identify and investigate apparent misconduct and/ or mismanagement in the administration of charities and to take remedial or protective action. </w:t>
      </w:r>
    </w:p>
    <w:p w14:paraId="45DBB324" w14:textId="77777777" w:rsidR="000B3DEB" w:rsidRPr="000B3DEB" w:rsidRDefault="000B3DEB" w:rsidP="00E03083">
      <w:pPr>
        <w:rPr>
          <w:lang w:val="en" w:eastAsia="en-GB"/>
        </w:rPr>
      </w:pPr>
      <w:r w:rsidRPr="000B3DEB">
        <w:rPr>
          <w:lang w:val="en" w:eastAsia="en-GB"/>
        </w:rPr>
        <w:t xml:space="preserve">Misconduct includes any act (or failure to act) that the person committing it knew (or ought to have known) was criminal, unlawful or improper. </w:t>
      </w:r>
    </w:p>
    <w:p w14:paraId="18743EE0" w14:textId="77777777" w:rsidR="000B3DEB" w:rsidRPr="000B3DEB" w:rsidRDefault="000B3DEB" w:rsidP="00E03083">
      <w:pPr>
        <w:rPr>
          <w:lang w:val="en" w:eastAsia="en-GB"/>
        </w:rPr>
      </w:pPr>
      <w:r w:rsidRPr="000B3DEB">
        <w:rPr>
          <w:lang w:val="en" w:eastAsia="en-GB"/>
        </w:rPr>
        <w:t xml:space="preserve">Mismanagement includes any act (or failure to act) that may cause charitable resources to be misused or the people who benefit from the charity to be put at risk. </w:t>
      </w:r>
    </w:p>
    <w:p w14:paraId="3E9CE633" w14:textId="77777777" w:rsidR="000B3DEB" w:rsidRPr="000B3DEB" w:rsidRDefault="000B3DEB" w:rsidP="00E03083">
      <w:pPr>
        <w:rPr>
          <w:lang w:val="en" w:eastAsia="en-GB"/>
        </w:rPr>
      </w:pPr>
      <w:r w:rsidRPr="000B3DEB">
        <w:rPr>
          <w:lang w:val="en" w:eastAsia="en-GB"/>
        </w:rPr>
        <w:t xml:space="preserve">In addition the Charities Act 2011 (‘the Act’) makes clear that failure to comply in full and within the deadline with any Commission Direction or Order may in itself be regarded as misconduct and/ or mismanagement in the administration of the charity. </w:t>
      </w:r>
    </w:p>
    <w:p w14:paraId="24380FAA" w14:textId="315E91BE" w:rsidR="000B3DEB" w:rsidRDefault="000B3DEB" w:rsidP="00E03083">
      <w:pPr>
        <w:rPr>
          <w:lang w:val="en" w:eastAsia="en-GB"/>
        </w:rPr>
      </w:pPr>
      <w:r w:rsidRPr="000B3DEB">
        <w:rPr>
          <w:lang w:val="en" w:eastAsia="en-GB"/>
        </w:rPr>
        <w:t xml:space="preserve">As a civil regulator, we work </w:t>
      </w:r>
      <w:proofErr w:type="gramStart"/>
      <w:r w:rsidRPr="000B3DEB">
        <w:rPr>
          <w:lang w:val="en" w:eastAsia="en-GB"/>
        </w:rPr>
        <w:t>to</w:t>
      </w:r>
      <w:proofErr w:type="gramEnd"/>
      <w:r w:rsidRPr="000B3DEB">
        <w:rPr>
          <w:lang w:val="en" w:eastAsia="en-GB"/>
        </w:rPr>
        <w:t xml:space="preserve"> civil law standards of proof; namely a balance of probabilities. In carrying out our investigation work the courts have considered the standard of proof required for use of our powers in line with our statutory responsibility to investigate and check abuse. The </w:t>
      </w:r>
      <w:r w:rsidRPr="000B3DEB">
        <w:rPr>
          <w:lang w:val="en" w:eastAsia="en-GB"/>
        </w:rPr>
        <w:lastRenderedPageBreak/>
        <w:t>threshold that applies, as set out by the court, is that the Commission needs to be satisfied on the facts that there are sufficiently serious and substantial grounds that make it necessary or desirable to act. However, when deciding to act during a statutory inquiry to protect charity, the courts have made clear that we need not have reached our final conclusions on the facts: this is set out in Seray-</w:t>
      </w:r>
      <w:proofErr w:type="spellStart"/>
      <w:r w:rsidRPr="000B3DEB">
        <w:rPr>
          <w:lang w:val="en" w:eastAsia="en-GB"/>
        </w:rPr>
        <w:t>Wurle</w:t>
      </w:r>
      <w:proofErr w:type="spellEnd"/>
      <w:r w:rsidRPr="000B3DEB">
        <w:rPr>
          <w:lang w:val="en" w:eastAsia="en-GB"/>
        </w:rPr>
        <w:t xml:space="preserve"> v The Charity Commission and The Attorney General [2008]EWHC 435(Ch) </w:t>
      </w:r>
    </w:p>
    <w:p w14:paraId="1409FD05" w14:textId="77777777" w:rsidR="00E03083" w:rsidRPr="000B3DEB" w:rsidRDefault="00E03083" w:rsidP="000B3DEB">
      <w:pPr>
        <w:shd w:val="clear" w:color="auto" w:fill="FFFFFF"/>
        <w:spacing w:after="0" w:line="346" w:lineRule="atLeast"/>
        <w:rPr>
          <w:rFonts w:eastAsia="Times New Roman" w:cs="Arial"/>
          <w:color w:val="262626"/>
          <w:sz w:val="22"/>
          <w:lang w:val="en" w:eastAsia="en-GB"/>
        </w:rPr>
      </w:pPr>
    </w:p>
    <w:p w14:paraId="2B33DBDF" w14:textId="77777777" w:rsidR="000B3DEB" w:rsidRPr="000B3DEB" w:rsidRDefault="000B3DEB" w:rsidP="00E03083">
      <w:pPr>
        <w:pStyle w:val="Heading3"/>
        <w:rPr>
          <w:lang w:val="en"/>
        </w:rPr>
      </w:pPr>
      <w:bookmarkStart w:id="8" w:name="_Toc124505749"/>
      <w:r w:rsidRPr="000B3DEB">
        <w:rPr>
          <w:lang w:val="en"/>
        </w:rPr>
        <w:t>2. How we respond to issues of concern</w:t>
      </w:r>
      <w:bookmarkEnd w:id="8"/>
      <w:r w:rsidRPr="000B3DEB">
        <w:rPr>
          <w:lang w:val="en"/>
        </w:rPr>
        <w:t xml:space="preserve"> </w:t>
      </w:r>
    </w:p>
    <w:p w14:paraId="7F86B25B" w14:textId="77777777" w:rsidR="000B3DEB" w:rsidRPr="000B3DEB" w:rsidRDefault="000B3DEB" w:rsidP="00E03083">
      <w:pPr>
        <w:rPr>
          <w:lang w:val="en" w:eastAsia="en-GB"/>
        </w:rPr>
      </w:pPr>
      <w:r w:rsidRPr="000B3DEB">
        <w:rPr>
          <w:lang w:val="en" w:eastAsia="en-GB"/>
        </w:rPr>
        <w:t xml:space="preserve">We respond to concerns about charities in a variety of ways, depending on the risks involved. </w:t>
      </w:r>
    </w:p>
    <w:p w14:paraId="6D753DAC" w14:textId="77777777" w:rsidR="000B3DEB" w:rsidRPr="000B3DEB" w:rsidRDefault="000B3DEB" w:rsidP="00E03083">
      <w:pPr>
        <w:rPr>
          <w:lang w:val="en" w:eastAsia="en-GB"/>
        </w:rPr>
      </w:pPr>
      <w:r w:rsidRPr="000B3DEB">
        <w:rPr>
          <w:lang w:val="en" w:eastAsia="en-GB"/>
        </w:rPr>
        <w:t xml:space="preserve">The initial point of contact for most enquiries or complaints to us will be via our Risk Assessment Unit (‘RAU’), initial vetting will identify whether complaints would be dealt with more appropriately by another regulator or if an issue might be resolved immediately by directing the complainant to published information. </w:t>
      </w:r>
    </w:p>
    <w:p w14:paraId="45CBEFFD" w14:textId="77777777" w:rsidR="000B3DEB" w:rsidRPr="000B3DEB" w:rsidRDefault="000B3DEB" w:rsidP="00E03083">
      <w:pPr>
        <w:rPr>
          <w:lang w:val="en" w:eastAsia="en-GB"/>
        </w:rPr>
      </w:pPr>
      <w:r w:rsidRPr="000B3DEB">
        <w:rPr>
          <w:lang w:val="en" w:eastAsia="en-GB"/>
        </w:rPr>
        <w:t xml:space="preserve">Cases that are determined to require action beyond that of the RAU will be passed to other Commission business areas depending on the nature of what is required. This will include cases for regulatory action. </w:t>
      </w:r>
    </w:p>
    <w:p w14:paraId="3BC2842B" w14:textId="77777777" w:rsidR="000B3DEB" w:rsidRPr="000B3DEB" w:rsidRDefault="000B3DEB" w:rsidP="00E03083">
      <w:pPr>
        <w:rPr>
          <w:lang w:val="en" w:eastAsia="en-GB"/>
        </w:rPr>
      </w:pPr>
      <w:r w:rsidRPr="000B3DEB">
        <w:rPr>
          <w:lang w:val="en" w:eastAsia="en-GB"/>
        </w:rPr>
        <w:t xml:space="preserve">In the most serious cases, where it is clear that a case involves issues that are of significant risk and will have a major impact on a charity or the public's confidence in charities, the RAU will discuss with Investigations, Monitoring and Enforcement (‘IME’) whether the case appears to meet the threshold for opening a statutory inquiry and if so, the RAU will submit a formal referral. </w:t>
      </w:r>
    </w:p>
    <w:p w14:paraId="3055357F" w14:textId="77777777" w:rsidR="000B3DEB" w:rsidRPr="000B3DEB" w:rsidRDefault="000B3DEB" w:rsidP="00E03083">
      <w:pPr>
        <w:rPr>
          <w:lang w:val="en" w:eastAsia="en-GB"/>
        </w:rPr>
      </w:pPr>
      <w:r w:rsidRPr="000B3DEB">
        <w:rPr>
          <w:lang w:val="en" w:eastAsia="en-GB"/>
        </w:rPr>
        <w:t xml:space="preserve">Other cases which identify regulatory concerns will usually be examined further in the Commission's Regulatory Compliance teams. This may include cases where the trustees are willing to work with us to find solutions despite the seriousness of the issues. Certain cases falling into this category may require us to use our </w:t>
      </w:r>
      <w:hyperlink r:id="rId10" w:tgtFrame="_blank" w:tooltip="OG 117- Investigations Work - Using Information Gathering Powers" w:history="1">
        <w:r w:rsidRPr="000B3DEB">
          <w:rPr>
            <w:color w:val="323298"/>
            <w:lang w:val="en" w:eastAsia="en-GB"/>
          </w:rPr>
          <w:t>information gathering powers</w:t>
        </w:r>
      </w:hyperlink>
      <w:r w:rsidRPr="000B3DEB">
        <w:rPr>
          <w:lang w:val="en" w:eastAsia="en-GB"/>
        </w:rPr>
        <w:t xml:space="preserve"> under section 52 of the Act. These broader powers are available to us and can be exercised even where a statutory inquiry has not been opened. If after further engagement with the issues, it is then considered that the inquiry threshold has been met, a referral will be made to IME for assessment. </w:t>
      </w:r>
    </w:p>
    <w:p w14:paraId="4FF214BD" w14:textId="468EEEBD" w:rsidR="000B3DEB" w:rsidRPr="000B3DEB" w:rsidRDefault="000B3DEB" w:rsidP="00E03083">
      <w:pPr>
        <w:rPr>
          <w:lang w:val="en" w:eastAsia="en-GB"/>
        </w:rPr>
      </w:pPr>
      <w:r w:rsidRPr="000B3DEB">
        <w:rPr>
          <w:lang w:val="en" w:eastAsia="en-GB"/>
        </w:rPr>
        <w:lastRenderedPageBreak/>
        <w:t xml:space="preserve">Further information about when we open a statutory inquiry is contained within </w:t>
      </w:r>
      <w:r w:rsidRPr="000B3DEB">
        <w:rPr>
          <w:color w:val="323298"/>
          <w:lang w:val="en" w:eastAsia="en-GB"/>
        </w:rPr>
        <w:t>OG117-3</w:t>
      </w:r>
      <w:r w:rsidRPr="000B3DEB">
        <w:rPr>
          <w:lang w:val="en" w:eastAsia="en-GB"/>
        </w:rPr>
        <w:t xml:space="preserve">. Information about the use of our temporary and/or permanent powers contained in sections 46, 47, 52,76, 80, 81, and 84B the Act are considered in OG117-6 to OG117-11. Additionally, OG404 (s75A Official Warnings) and OG525 (s181A Power to Disqualify) are relevant to inquiry work. </w:t>
      </w:r>
    </w:p>
    <w:p w14:paraId="15127B11" w14:textId="5E3C57DF" w:rsidR="000B3DEB" w:rsidRPr="000B3DEB" w:rsidRDefault="000B3DEB" w:rsidP="000B3DEB">
      <w:pPr>
        <w:shd w:val="clear" w:color="auto" w:fill="FFFFFF"/>
        <w:spacing w:after="0" w:line="346" w:lineRule="atLeast"/>
        <w:rPr>
          <w:rFonts w:eastAsia="Times New Roman" w:cs="Arial"/>
          <w:color w:val="262626"/>
          <w:sz w:val="22"/>
          <w:lang w:val="en" w:eastAsia="en-GB"/>
        </w:rPr>
      </w:pPr>
    </w:p>
    <w:p w14:paraId="0107FDF1" w14:textId="77777777" w:rsidR="000B3DEB" w:rsidRPr="000B3DEB" w:rsidRDefault="000B3DEB" w:rsidP="00E03083">
      <w:pPr>
        <w:pStyle w:val="Heading3"/>
        <w:rPr>
          <w:lang w:val="en"/>
        </w:rPr>
      </w:pPr>
      <w:bookmarkStart w:id="9" w:name="_Toc124505750"/>
      <w:r w:rsidRPr="000B3DEB">
        <w:rPr>
          <w:lang w:val="en"/>
        </w:rPr>
        <w:t>3. Those who may be subject to our regulatory action</w:t>
      </w:r>
      <w:bookmarkEnd w:id="9"/>
      <w:r w:rsidRPr="000B3DEB">
        <w:rPr>
          <w:lang w:val="en"/>
        </w:rPr>
        <w:t xml:space="preserve"> </w:t>
      </w:r>
    </w:p>
    <w:p w14:paraId="2AA5B3F5" w14:textId="77777777" w:rsidR="000B3DEB" w:rsidRPr="000B3DEB" w:rsidRDefault="000B3DEB" w:rsidP="00E03083">
      <w:pPr>
        <w:rPr>
          <w:lang w:val="en" w:eastAsia="en-GB"/>
        </w:rPr>
      </w:pPr>
      <w:r w:rsidRPr="000B3DEB">
        <w:rPr>
          <w:lang w:val="en" w:eastAsia="en-GB"/>
        </w:rPr>
        <w:t xml:space="preserve">Parts OG117-7 to OG117-11 of this guidance series highlight the temporary and permanent protective powers under sections 76 and 84B of the Act. Some of those powers are exercised in relation to a "trustee, charity trustee, officer, agent or employee" of a charity. </w:t>
      </w:r>
    </w:p>
    <w:p w14:paraId="31F59AB1" w14:textId="77777777" w:rsidR="000B3DEB" w:rsidRPr="000B3DEB" w:rsidRDefault="000B3DEB" w:rsidP="00E03083">
      <w:pPr>
        <w:rPr>
          <w:lang w:val="en" w:eastAsia="en-GB"/>
        </w:rPr>
      </w:pPr>
      <w:r w:rsidRPr="000B3DEB">
        <w:rPr>
          <w:b/>
          <w:bCs/>
          <w:lang w:val="en" w:eastAsia="en-GB"/>
        </w:rPr>
        <w:t>Trustee or Charity Trustee</w:t>
      </w:r>
      <w:r w:rsidRPr="000B3DEB">
        <w:rPr>
          <w:lang w:val="en" w:eastAsia="en-GB"/>
        </w:rPr>
        <w:t xml:space="preserve"> </w:t>
      </w:r>
    </w:p>
    <w:p w14:paraId="363C51BB" w14:textId="77777777" w:rsidR="000B3DEB" w:rsidRPr="000B3DEB" w:rsidRDefault="000B3DEB" w:rsidP="00E03083">
      <w:pPr>
        <w:rPr>
          <w:lang w:val="en" w:eastAsia="en-GB"/>
        </w:rPr>
      </w:pPr>
      <w:r w:rsidRPr="000B3DEB">
        <w:rPr>
          <w:lang w:val="en" w:eastAsia="en-GB"/>
        </w:rPr>
        <w:t xml:space="preserve">"Charity trustees" are defined in s.177(1) of the Act as those persons having the general control and management of the administration of the charity. By contrast a "trustee" may have less extensive responsibilities, for example, simply to hold legal title to the charity's property (as a "holding trustee" or "custodian trustee"). In this guidance, however, the word "trustee" is used to refer to the charity trustees. Other sorts of trustee are identified as appropriate. Before we exercise powers against a trustee we must be reasonably satisfied that he or she holds that office. If we are of the view that someone is not a properly appointed trustee, we cannot exercise a power to suspend them, for example, because we cannot suspend someone from an office they do not hold. However, we cannot determine whether or not someone holds a particular office (as the Court can). </w:t>
      </w:r>
    </w:p>
    <w:p w14:paraId="43183176" w14:textId="77777777" w:rsidR="000B3DEB" w:rsidRPr="000B3DEB" w:rsidRDefault="000B3DEB" w:rsidP="00E03083">
      <w:pPr>
        <w:rPr>
          <w:lang w:val="en" w:eastAsia="en-GB"/>
        </w:rPr>
      </w:pPr>
      <w:r w:rsidRPr="000B3DEB">
        <w:rPr>
          <w:lang w:val="en" w:eastAsia="en-GB"/>
        </w:rPr>
        <w:t xml:space="preserve">It follows that, depending on the circumstances, we may be able to exercise our powers against an individual who claims to be a trustee where there appears to be a legal basis to that claim even if his or her claim is disputed by others. </w:t>
      </w:r>
    </w:p>
    <w:p w14:paraId="122E58C8" w14:textId="77777777" w:rsidR="000B3DEB" w:rsidRPr="000B3DEB" w:rsidRDefault="000B3DEB" w:rsidP="00E03083">
      <w:pPr>
        <w:rPr>
          <w:lang w:val="en" w:eastAsia="en-GB"/>
        </w:rPr>
      </w:pPr>
      <w:r w:rsidRPr="000B3DEB">
        <w:rPr>
          <w:lang w:val="en" w:eastAsia="en-GB"/>
        </w:rPr>
        <w:t xml:space="preserve">In situations of doubt we may need to consider exercising our powers in relation to a person as an agent or officer of the charity, as well as in their supposed capacity as trustee. This ensures that if the person turns out not to be a trustee he or she will still be caught by our Order by virtue of the position he or she holds. </w:t>
      </w:r>
    </w:p>
    <w:p w14:paraId="1710AD20" w14:textId="39701B22" w:rsidR="000B3DEB" w:rsidRPr="000B3DEB" w:rsidRDefault="00E03083" w:rsidP="00E03083">
      <w:pPr>
        <w:rPr>
          <w:lang w:val="en" w:eastAsia="en-GB"/>
        </w:rPr>
      </w:pPr>
      <w:r w:rsidRPr="00E03083">
        <w:rPr>
          <w:b/>
          <w:bCs/>
          <w:noProof/>
          <w:lang w:val="en" w:eastAsia="en-GB"/>
        </w:rPr>
        <w:lastRenderedPageBreak/>
        <w:t>Important note</w:t>
      </w:r>
      <w:r>
        <w:rPr>
          <w:noProof/>
          <w:lang w:val="en" w:eastAsia="en-GB"/>
        </w:rPr>
        <w:t xml:space="preserve">: </w:t>
      </w:r>
      <w:r w:rsidR="000B3DEB" w:rsidRPr="000B3DEB">
        <w:rPr>
          <w:lang w:val="en" w:eastAsia="en-GB"/>
        </w:rPr>
        <w:t xml:space="preserve">Legal advice must be sought where it is unclear what position an individual holds in a charity. </w:t>
      </w:r>
    </w:p>
    <w:p w14:paraId="75CE6E80" w14:textId="77777777" w:rsidR="000B3DEB" w:rsidRPr="000B3DEB" w:rsidRDefault="000B3DEB" w:rsidP="000B3DEB">
      <w:pPr>
        <w:shd w:val="clear" w:color="auto" w:fill="FFFFFF"/>
        <w:spacing w:after="0" w:line="346" w:lineRule="atLeast"/>
        <w:rPr>
          <w:rFonts w:eastAsia="Times New Roman" w:cs="Arial"/>
          <w:color w:val="262626"/>
          <w:sz w:val="22"/>
          <w:lang w:val="en" w:eastAsia="en-GB"/>
        </w:rPr>
      </w:pPr>
      <w:r w:rsidRPr="000B3DEB">
        <w:rPr>
          <w:rFonts w:eastAsia="Times New Roman" w:cs="Arial"/>
          <w:color w:val="262626"/>
          <w:sz w:val="22"/>
          <w:lang w:val="en" w:eastAsia="en-GB"/>
        </w:rPr>
        <w:t xml:space="preserve">  </w:t>
      </w:r>
    </w:p>
    <w:p w14:paraId="0B722874" w14:textId="77777777" w:rsidR="000B3DEB" w:rsidRPr="000B3DEB" w:rsidRDefault="000B3DEB" w:rsidP="00E03083">
      <w:pPr>
        <w:rPr>
          <w:lang w:val="en" w:eastAsia="en-GB"/>
        </w:rPr>
      </w:pPr>
      <w:r w:rsidRPr="000B3DEB">
        <w:rPr>
          <w:lang w:val="en" w:eastAsia="en-GB"/>
        </w:rPr>
        <w:t xml:space="preserve">Officer </w:t>
      </w:r>
    </w:p>
    <w:p w14:paraId="358698AC" w14:textId="77777777" w:rsidR="000B3DEB" w:rsidRPr="000B3DEB" w:rsidRDefault="000B3DEB" w:rsidP="00E03083">
      <w:pPr>
        <w:rPr>
          <w:lang w:val="en" w:eastAsia="en-GB"/>
        </w:rPr>
      </w:pPr>
      <w:r w:rsidRPr="000B3DEB">
        <w:rPr>
          <w:lang w:val="en" w:eastAsia="en-GB"/>
        </w:rPr>
        <w:t xml:space="preserve">An officer of a charity is anyone who holds an office, for example a secretary or a treasurer. Often, they will also be trustees but there are situations where certain officers are not trustees. This can usually be determined by reading the charity's governing document, but where doubts arise you must seek advice from a legal officer. </w:t>
      </w:r>
    </w:p>
    <w:p w14:paraId="079BD09C" w14:textId="77777777" w:rsidR="000B3DEB" w:rsidRPr="000B3DEB" w:rsidRDefault="000B3DEB" w:rsidP="00E03083">
      <w:pPr>
        <w:rPr>
          <w:lang w:val="en" w:eastAsia="en-GB"/>
        </w:rPr>
      </w:pPr>
      <w:r w:rsidRPr="000B3DEB">
        <w:rPr>
          <w:lang w:val="en" w:eastAsia="en-GB"/>
        </w:rPr>
        <w:t xml:space="preserve">Employee </w:t>
      </w:r>
    </w:p>
    <w:p w14:paraId="7F9EA724" w14:textId="77777777" w:rsidR="000B3DEB" w:rsidRPr="000B3DEB" w:rsidRDefault="000B3DEB" w:rsidP="00E03083">
      <w:pPr>
        <w:rPr>
          <w:lang w:val="en" w:eastAsia="en-GB"/>
        </w:rPr>
      </w:pPr>
      <w:r w:rsidRPr="000B3DEB">
        <w:rPr>
          <w:lang w:val="en" w:eastAsia="en-GB"/>
        </w:rPr>
        <w:t xml:space="preserve">An employee is someone having a contract of employment with the charity which is usually in writing. Someone who is paid to carry out regular work for a charity is likely to be an employee. Charities have to pay National Insurance contributions and make PAYE tax deductions for employees. </w:t>
      </w:r>
    </w:p>
    <w:p w14:paraId="047F124F" w14:textId="77777777" w:rsidR="000B3DEB" w:rsidRPr="000B3DEB" w:rsidRDefault="000B3DEB" w:rsidP="00E03083">
      <w:pPr>
        <w:rPr>
          <w:lang w:val="en" w:eastAsia="en-GB"/>
        </w:rPr>
      </w:pPr>
      <w:r w:rsidRPr="000B3DEB">
        <w:rPr>
          <w:lang w:val="en" w:eastAsia="en-GB"/>
        </w:rPr>
        <w:t xml:space="preserve">Charities may also use the services of self-employed contractors. However, these will not be employees of the charity. Self-employed contractors usually act for a specified period of time and payment is often upon completion of a task rather than an hourly rate. Self-employed contractors have to make arrangements to pay their own tax. Titles for contracted staff may be misleading as sometimes their work may be referred to as "employment". However, it is the relationship with the charity that is important rather than the job title. If there is any uncertainty as to the capacity in which an individual is working, then legal advice must be taken. </w:t>
      </w:r>
    </w:p>
    <w:p w14:paraId="19EE087D" w14:textId="77777777" w:rsidR="000B3DEB" w:rsidRPr="000B3DEB" w:rsidRDefault="000B3DEB" w:rsidP="00E03083">
      <w:pPr>
        <w:rPr>
          <w:lang w:val="en" w:eastAsia="en-GB"/>
        </w:rPr>
      </w:pPr>
      <w:r w:rsidRPr="000B3DEB">
        <w:rPr>
          <w:lang w:val="en" w:eastAsia="en-GB"/>
        </w:rPr>
        <w:t xml:space="preserve">Agent </w:t>
      </w:r>
    </w:p>
    <w:p w14:paraId="5BC86831" w14:textId="77777777" w:rsidR="000B3DEB" w:rsidRPr="000B3DEB" w:rsidRDefault="000B3DEB" w:rsidP="00E03083">
      <w:pPr>
        <w:rPr>
          <w:lang w:val="en" w:eastAsia="en-GB"/>
        </w:rPr>
      </w:pPr>
      <w:r w:rsidRPr="000B3DEB">
        <w:rPr>
          <w:lang w:val="en" w:eastAsia="en-GB"/>
        </w:rPr>
        <w:t xml:space="preserve">In law an agent is someone who has the authority to legally bind the principal, for example, in a contract. In this situation the charity (or charity trustees) will be the principal. In casework terms we would be looking at what authority the individual has to bind the charity. An example may be a volunteer who has the power to open a bank account on behalf of a charity and sign the bank mandate. This volunteer is acting as an agent of the charity in doing so. </w:t>
      </w:r>
    </w:p>
    <w:p w14:paraId="32521643" w14:textId="7E430F7A" w:rsidR="000B3DEB" w:rsidRPr="000B3DEB" w:rsidRDefault="00E03083" w:rsidP="00E03083">
      <w:pPr>
        <w:rPr>
          <w:lang w:val="en" w:eastAsia="en-GB"/>
        </w:rPr>
      </w:pPr>
      <w:r w:rsidRPr="00E03083">
        <w:rPr>
          <w:b/>
          <w:bCs/>
          <w:noProof/>
          <w:lang w:val="en" w:eastAsia="en-GB"/>
        </w:rPr>
        <w:t>Important note</w:t>
      </w:r>
      <w:r>
        <w:rPr>
          <w:noProof/>
          <w:lang w:val="en" w:eastAsia="en-GB"/>
        </w:rPr>
        <w:t xml:space="preserve">: </w:t>
      </w:r>
      <w:r w:rsidR="000B3DEB" w:rsidRPr="000B3DEB">
        <w:rPr>
          <w:lang w:val="en" w:eastAsia="en-GB"/>
        </w:rPr>
        <w:t xml:space="preserve">Legal advice must be sought where you are of the view that a volunteer may be an agent or you are otherwise considering taking regulatory action against a volunteer. </w:t>
      </w:r>
    </w:p>
    <w:p w14:paraId="4C16FB36" w14:textId="77777777" w:rsidR="00E03083" w:rsidRDefault="00E03083" w:rsidP="000B3DEB">
      <w:pPr>
        <w:shd w:val="clear" w:color="auto" w:fill="FFFFFF"/>
        <w:spacing w:after="0" w:line="225" w:lineRule="atLeast"/>
        <w:outlineLvl w:val="3"/>
        <w:rPr>
          <w:rFonts w:eastAsia="Times New Roman" w:cs="Arial"/>
          <w:b/>
          <w:bCs/>
          <w:color w:val="000000"/>
          <w:sz w:val="23"/>
          <w:szCs w:val="23"/>
          <w:lang w:val="en" w:eastAsia="en-GB"/>
        </w:rPr>
      </w:pPr>
    </w:p>
    <w:p w14:paraId="5FEDA4DF" w14:textId="4C03E28C" w:rsidR="000B3DEB" w:rsidRPr="000B3DEB" w:rsidRDefault="000B3DEB" w:rsidP="000B3DEB">
      <w:pPr>
        <w:shd w:val="clear" w:color="auto" w:fill="FFFFFF"/>
        <w:spacing w:after="0" w:line="225" w:lineRule="atLeast"/>
        <w:outlineLvl w:val="3"/>
        <w:rPr>
          <w:rFonts w:eastAsia="Times New Roman" w:cs="Arial"/>
          <w:b/>
          <w:bCs/>
          <w:color w:val="000000"/>
          <w:sz w:val="23"/>
          <w:szCs w:val="23"/>
          <w:lang w:val="en" w:eastAsia="en-GB"/>
        </w:rPr>
      </w:pPr>
      <w:r w:rsidRPr="000B3DEB">
        <w:rPr>
          <w:rFonts w:eastAsia="Times New Roman" w:cs="Arial"/>
          <w:b/>
          <w:bCs/>
          <w:color w:val="000000"/>
          <w:sz w:val="23"/>
          <w:szCs w:val="23"/>
          <w:lang w:val="en" w:eastAsia="en-GB"/>
        </w:rPr>
        <w:t xml:space="preserve">  </w:t>
      </w:r>
    </w:p>
    <w:p w14:paraId="3ADAE943" w14:textId="77777777" w:rsidR="000B3DEB" w:rsidRPr="000B3DEB" w:rsidRDefault="000B3DEB" w:rsidP="00E03083">
      <w:pPr>
        <w:pStyle w:val="Heading3"/>
        <w:rPr>
          <w:lang w:val="en"/>
        </w:rPr>
      </w:pPr>
      <w:bookmarkStart w:id="10" w:name="_Toc124505751"/>
      <w:r w:rsidRPr="000B3DEB">
        <w:rPr>
          <w:lang w:val="en"/>
        </w:rPr>
        <w:t>4. Confidentiality</w:t>
      </w:r>
      <w:bookmarkEnd w:id="10"/>
      <w:r w:rsidRPr="000B3DEB">
        <w:rPr>
          <w:lang w:val="en"/>
        </w:rPr>
        <w:t xml:space="preserve"> </w:t>
      </w:r>
    </w:p>
    <w:p w14:paraId="7B33788B" w14:textId="77777777" w:rsidR="000B3DEB" w:rsidRPr="000B3DEB" w:rsidRDefault="000B3DEB" w:rsidP="00E03083">
      <w:pPr>
        <w:rPr>
          <w:lang w:val="en" w:eastAsia="en-GB"/>
        </w:rPr>
      </w:pPr>
      <w:r w:rsidRPr="000B3DEB">
        <w:rPr>
          <w:lang w:val="en" w:eastAsia="en-GB"/>
        </w:rPr>
        <w:t xml:space="preserve">External sources may provide information about suspected causes for concern on the understanding that the Commission will not disclose their identity. Whilst we will respect such confidences we cannot guarantee confidentiality since, ultimately, a Court may order us to reveal the identity of our informant. While we will not disclose identities as a matter of course, we are likely to need to disclose the nature of the complaint if we are to investigate it properly. In certain circumstances we may disclose personal, sensitive and/or confidential information provided to us, but we will always treat and handle information in accordance with the law. You can find more information about how the Commission uses personal data, when we further disclose information, and how we fulfil our obligations under the General Data Protection Regulation and the Data Protection Act 2018 in our </w:t>
      </w:r>
      <w:hyperlink r:id="rId11" w:tgtFrame="_blank" w:tooltip="Personal information charter" w:history="1">
        <w:r w:rsidRPr="000B3DEB">
          <w:rPr>
            <w:color w:val="323298"/>
            <w:lang w:val="en" w:eastAsia="en-GB"/>
          </w:rPr>
          <w:t>Personal Information Charter</w:t>
        </w:r>
      </w:hyperlink>
      <w:r w:rsidRPr="000B3DEB">
        <w:rPr>
          <w:lang w:val="en" w:eastAsia="en-GB"/>
        </w:rPr>
        <w:t xml:space="preserve">. </w:t>
      </w:r>
    </w:p>
    <w:p w14:paraId="00A45819" w14:textId="77777777" w:rsidR="000B3DEB" w:rsidRPr="000B3DEB" w:rsidRDefault="000B3DEB" w:rsidP="00E03083">
      <w:pPr>
        <w:rPr>
          <w:lang w:val="en" w:eastAsia="en-GB"/>
        </w:rPr>
      </w:pPr>
      <w:r w:rsidRPr="000B3DEB">
        <w:rPr>
          <w:lang w:val="en" w:eastAsia="en-GB"/>
        </w:rPr>
        <w:t xml:space="preserve">Requests to disclose identity will be considered under the legal principles applicable to data protection, human rights, freedom of information and whistleblowing. Operational Guidance on these issues is available as follows: </w:t>
      </w:r>
    </w:p>
    <w:p w14:paraId="3BD46444" w14:textId="384FD380" w:rsidR="000B3DEB" w:rsidRPr="00E03083" w:rsidRDefault="000B3DEB" w:rsidP="00E03083">
      <w:pPr>
        <w:pStyle w:val="ListParagraph"/>
        <w:numPr>
          <w:ilvl w:val="0"/>
          <w:numId w:val="34"/>
        </w:numPr>
        <w:rPr>
          <w:lang w:val="en" w:eastAsia="en-GB"/>
        </w:rPr>
      </w:pPr>
      <w:r w:rsidRPr="00E03083">
        <w:rPr>
          <w:color w:val="323298"/>
          <w:lang w:val="en" w:eastAsia="en-GB"/>
        </w:rPr>
        <w:t>OG 71</w:t>
      </w:r>
      <w:r w:rsidRPr="00E03083">
        <w:rPr>
          <w:lang w:val="en" w:eastAsia="en-GB"/>
        </w:rPr>
        <w:t xml:space="preserve"> on The Human Rights Act 1998.</w:t>
      </w:r>
    </w:p>
    <w:p w14:paraId="5E174C7C" w14:textId="7520E459" w:rsidR="000B3DEB" w:rsidRPr="00E03083" w:rsidRDefault="000B3DEB" w:rsidP="00E03083">
      <w:pPr>
        <w:pStyle w:val="ListParagraph"/>
        <w:numPr>
          <w:ilvl w:val="0"/>
          <w:numId w:val="34"/>
        </w:numPr>
        <w:rPr>
          <w:lang w:val="en" w:eastAsia="en-GB"/>
        </w:rPr>
      </w:pPr>
      <w:r w:rsidRPr="00E03083">
        <w:rPr>
          <w:color w:val="323298"/>
          <w:lang w:val="en" w:eastAsia="en-GB"/>
        </w:rPr>
        <w:t>OG 407</w:t>
      </w:r>
      <w:r w:rsidRPr="00E03083">
        <w:rPr>
          <w:lang w:val="en" w:eastAsia="en-GB"/>
        </w:rPr>
        <w:t xml:space="preserve"> considers the Whistleblowing provisions contained in the Public Interest Disclosure Act 1998.</w:t>
      </w:r>
    </w:p>
    <w:p w14:paraId="3EDE16CD" w14:textId="1080B9E4" w:rsidR="000B3DEB" w:rsidRPr="00E03083" w:rsidRDefault="000B3DEB" w:rsidP="00E03083">
      <w:pPr>
        <w:pStyle w:val="ListParagraph"/>
        <w:numPr>
          <w:ilvl w:val="0"/>
          <w:numId w:val="34"/>
        </w:numPr>
        <w:rPr>
          <w:lang w:val="en" w:eastAsia="en-GB"/>
        </w:rPr>
      </w:pPr>
      <w:r w:rsidRPr="00E03083">
        <w:rPr>
          <w:color w:val="323298"/>
          <w:lang w:val="en" w:eastAsia="en-GB"/>
        </w:rPr>
        <w:t>OG117-1</w:t>
      </w:r>
      <w:r w:rsidRPr="00E03083">
        <w:rPr>
          <w:lang w:val="en" w:eastAsia="en-GB"/>
        </w:rPr>
        <w:t xml:space="preserve"> also sets out how human rights issues may be engaged during the course of our investigatory work.</w:t>
      </w:r>
    </w:p>
    <w:p w14:paraId="691D8392" w14:textId="0E7495A3" w:rsidR="000B3DEB" w:rsidRPr="00E03083" w:rsidRDefault="000B3DEB" w:rsidP="00E03083">
      <w:pPr>
        <w:pStyle w:val="ListParagraph"/>
        <w:numPr>
          <w:ilvl w:val="0"/>
          <w:numId w:val="34"/>
        </w:numPr>
        <w:rPr>
          <w:lang w:val="en" w:eastAsia="en-GB"/>
        </w:rPr>
      </w:pPr>
      <w:r w:rsidRPr="00E03083">
        <w:rPr>
          <w:color w:val="323298"/>
          <w:lang w:val="en" w:eastAsia="en-GB"/>
        </w:rPr>
        <w:t>OG117-5</w:t>
      </w:r>
      <w:r w:rsidRPr="00E03083">
        <w:rPr>
          <w:lang w:val="en" w:eastAsia="en-GB"/>
        </w:rPr>
        <w:t xml:space="preserve"> sets out our publishing policy on issuing press releases when we produce a Statement of Results of Inquiry.</w:t>
      </w:r>
    </w:p>
    <w:p w14:paraId="2C4D74B9" w14:textId="22EAA2BC" w:rsidR="000B3DEB" w:rsidRPr="00E03083" w:rsidRDefault="000B3DEB" w:rsidP="00E03083">
      <w:pPr>
        <w:pStyle w:val="ListParagraph"/>
        <w:numPr>
          <w:ilvl w:val="0"/>
          <w:numId w:val="34"/>
        </w:numPr>
        <w:rPr>
          <w:lang w:val="en" w:eastAsia="en-GB"/>
        </w:rPr>
      </w:pPr>
      <w:r w:rsidRPr="00E03083">
        <w:rPr>
          <w:color w:val="323298"/>
          <w:lang w:val="en" w:eastAsia="en-GB"/>
        </w:rPr>
        <w:t>OG 405</w:t>
      </w:r>
      <w:r w:rsidRPr="00E03083">
        <w:rPr>
          <w:lang w:val="en" w:eastAsia="en-GB"/>
        </w:rPr>
        <w:t xml:space="preserve"> Sharing information with other public authorities under section 10.</w:t>
      </w:r>
    </w:p>
    <w:p w14:paraId="32839A46" w14:textId="77777777" w:rsidR="000B3DEB" w:rsidRPr="00E03083" w:rsidRDefault="000B3DEB" w:rsidP="00E03083">
      <w:pPr>
        <w:pStyle w:val="ListParagraph"/>
        <w:numPr>
          <w:ilvl w:val="0"/>
          <w:numId w:val="34"/>
        </w:numPr>
        <w:rPr>
          <w:lang w:val="en" w:eastAsia="en-GB"/>
        </w:rPr>
      </w:pPr>
      <w:r w:rsidRPr="00E03083">
        <w:rPr>
          <w:lang w:val="en" w:eastAsia="en-GB"/>
        </w:rPr>
        <w:t xml:space="preserve">More information on the </w:t>
      </w:r>
      <w:hyperlink r:id="rId12" w:tgtFrame="_blank" w:tooltip="Freedom of Information Act 2000" w:history="1">
        <w:r w:rsidRPr="00E03083">
          <w:rPr>
            <w:color w:val="323298"/>
            <w:lang w:val="en" w:eastAsia="en-GB"/>
          </w:rPr>
          <w:t>Freedom of Information Act 2000</w:t>
        </w:r>
      </w:hyperlink>
      <w:r w:rsidRPr="00E03083">
        <w:rPr>
          <w:lang w:val="en" w:eastAsia="en-GB"/>
        </w:rPr>
        <w:t xml:space="preserve"> for those working in central government departments can be found on GOV.UK and the </w:t>
      </w:r>
      <w:hyperlink r:id="rId13" w:tgtFrame="_blank" w:tooltip="Information Commissioners Office" w:history="1">
        <w:r w:rsidRPr="00E03083">
          <w:rPr>
            <w:color w:val="323298"/>
            <w:lang w:val="en" w:eastAsia="en-GB"/>
          </w:rPr>
          <w:t>Information Commissioner's website</w:t>
        </w:r>
      </w:hyperlink>
      <w:r w:rsidRPr="00E03083">
        <w:rPr>
          <w:lang w:val="en" w:eastAsia="en-GB"/>
        </w:rPr>
        <w:t xml:space="preserve"> </w:t>
      </w:r>
    </w:p>
    <w:p w14:paraId="7DC24AB0" w14:textId="77777777" w:rsidR="000B3DEB" w:rsidRPr="00E03083" w:rsidRDefault="000B3DEB" w:rsidP="00E03083">
      <w:pPr>
        <w:pStyle w:val="ListParagraph"/>
        <w:numPr>
          <w:ilvl w:val="0"/>
          <w:numId w:val="34"/>
        </w:numPr>
        <w:rPr>
          <w:lang w:val="en" w:eastAsia="en-GB"/>
        </w:rPr>
      </w:pPr>
      <w:r w:rsidRPr="00E03083">
        <w:rPr>
          <w:lang w:val="en" w:eastAsia="en-GB"/>
        </w:rPr>
        <w:t xml:space="preserve">Information held for the purposes of conducting a statutory inquiry is likely to be subject to an absolute exemption on the need to disclose it under section 32 of this Act. Where information falls within one the exemptions, it is not disclosable under the freedom of information legislation. However, it may be possible to disclose </w:t>
      </w:r>
      <w:r w:rsidRPr="00E03083">
        <w:rPr>
          <w:lang w:val="en" w:eastAsia="en-GB"/>
        </w:rPr>
        <w:lastRenderedPageBreak/>
        <w:t xml:space="preserve">information under one or other of our own statutory powers. It is important to bear in mind that the Freedom of Information Act protects individual officers (and the Commission) by providing authority for the disclosure of information. The Act provides no authority for disclosing exempt information. To disclose information without authority may be problematic and legal advice must be sought before doing so. </w:t>
      </w:r>
    </w:p>
    <w:p w14:paraId="7D495DFD" w14:textId="77777777" w:rsidR="00880C0F" w:rsidRPr="000B3DEB" w:rsidRDefault="00880C0F" w:rsidP="000B3DEB"/>
    <w:sectPr w:rsidR="00880C0F" w:rsidRPr="000B3DEB" w:rsidSect="00E03083">
      <w:footerReference w:type="default" r:id="rId14"/>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2780" w14:textId="77777777" w:rsidR="00257BB0" w:rsidRDefault="00257BB0" w:rsidP="00E03083">
      <w:pPr>
        <w:spacing w:after="0" w:line="240" w:lineRule="auto"/>
      </w:pPr>
      <w:r>
        <w:separator/>
      </w:r>
    </w:p>
  </w:endnote>
  <w:endnote w:type="continuationSeparator" w:id="0">
    <w:p w14:paraId="3EDB31A7" w14:textId="77777777" w:rsidR="00257BB0" w:rsidRDefault="00257BB0" w:rsidP="00E0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039731"/>
      <w:docPartObj>
        <w:docPartGallery w:val="Page Numbers (Bottom of Page)"/>
        <w:docPartUnique/>
      </w:docPartObj>
    </w:sdtPr>
    <w:sdtEndPr>
      <w:rPr>
        <w:noProof/>
      </w:rPr>
    </w:sdtEndPr>
    <w:sdtContent>
      <w:p w14:paraId="651131BD" w14:textId="2FBA1339" w:rsidR="00E03083" w:rsidRDefault="00E03083">
        <w:pPr>
          <w:pStyle w:val="Footer"/>
        </w:pPr>
        <w:r>
          <w:fldChar w:fldCharType="begin"/>
        </w:r>
        <w:r>
          <w:instrText xml:space="preserve"> PAGE   \* MERGEFORMAT </w:instrText>
        </w:r>
        <w:r>
          <w:fldChar w:fldCharType="separate"/>
        </w:r>
        <w:r>
          <w:rPr>
            <w:noProof/>
          </w:rPr>
          <w:t>2</w:t>
        </w:r>
        <w:r>
          <w:rPr>
            <w:noProof/>
          </w:rPr>
          <w:fldChar w:fldCharType="end"/>
        </w:r>
      </w:p>
    </w:sdtContent>
  </w:sdt>
  <w:p w14:paraId="3C08806E" w14:textId="77777777" w:rsidR="00E03083" w:rsidRDefault="00E03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7EB3" w14:textId="77777777" w:rsidR="00257BB0" w:rsidRDefault="00257BB0" w:rsidP="00E03083">
      <w:pPr>
        <w:spacing w:after="0" w:line="240" w:lineRule="auto"/>
      </w:pPr>
      <w:r>
        <w:separator/>
      </w:r>
    </w:p>
  </w:footnote>
  <w:footnote w:type="continuationSeparator" w:id="0">
    <w:p w14:paraId="3BF201DF" w14:textId="77777777" w:rsidR="00257BB0" w:rsidRDefault="00257BB0" w:rsidP="00E030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4952"/>
    <w:multiLevelType w:val="multilevel"/>
    <w:tmpl w:val="1EA2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33DBF"/>
    <w:multiLevelType w:val="multilevel"/>
    <w:tmpl w:val="2FE4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6275C"/>
    <w:multiLevelType w:val="multilevel"/>
    <w:tmpl w:val="831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6406A"/>
    <w:multiLevelType w:val="multilevel"/>
    <w:tmpl w:val="C594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822E5"/>
    <w:multiLevelType w:val="multilevel"/>
    <w:tmpl w:val="D98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4169C"/>
    <w:multiLevelType w:val="multilevel"/>
    <w:tmpl w:val="4456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D03CD"/>
    <w:multiLevelType w:val="multilevel"/>
    <w:tmpl w:val="F66E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F4F3F"/>
    <w:multiLevelType w:val="multilevel"/>
    <w:tmpl w:val="C836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179BC"/>
    <w:multiLevelType w:val="multilevel"/>
    <w:tmpl w:val="D026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31E25"/>
    <w:multiLevelType w:val="hybridMultilevel"/>
    <w:tmpl w:val="6762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6687C"/>
    <w:multiLevelType w:val="multilevel"/>
    <w:tmpl w:val="719A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633C7"/>
    <w:multiLevelType w:val="multilevel"/>
    <w:tmpl w:val="0E00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F21CFE"/>
    <w:multiLevelType w:val="multilevel"/>
    <w:tmpl w:val="F2A0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97CFA"/>
    <w:multiLevelType w:val="multilevel"/>
    <w:tmpl w:val="C9E4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9350D"/>
    <w:multiLevelType w:val="multilevel"/>
    <w:tmpl w:val="D770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62244"/>
    <w:multiLevelType w:val="multilevel"/>
    <w:tmpl w:val="AACE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B65AB"/>
    <w:multiLevelType w:val="multilevel"/>
    <w:tmpl w:val="2422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63BAB"/>
    <w:multiLevelType w:val="multilevel"/>
    <w:tmpl w:val="9F1C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C005D"/>
    <w:multiLevelType w:val="multilevel"/>
    <w:tmpl w:val="480A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84B35"/>
    <w:multiLevelType w:val="multilevel"/>
    <w:tmpl w:val="CA0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953FBD"/>
    <w:multiLevelType w:val="multilevel"/>
    <w:tmpl w:val="E32A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B50CFE"/>
    <w:multiLevelType w:val="multilevel"/>
    <w:tmpl w:val="6106A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F57A4"/>
    <w:multiLevelType w:val="multilevel"/>
    <w:tmpl w:val="EF844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72BFF"/>
    <w:multiLevelType w:val="multilevel"/>
    <w:tmpl w:val="20C2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871D2"/>
    <w:multiLevelType w:val="multilevel"/>
    <w:tmpl w:val="9F54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0D62AA"/>
    <w:multiLevelType w:val="multilevel"/>
    <w:tmpl w:val="B580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C12FE8"/>
    <w:multiLevelType w:val="multilevel"/>
    <w:tmpl w:val="2EB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041E4"/>
    <w:multiLevelType w:val="multilevel"/>
    <w:tmpl w:val="086C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DA4DCA"/>
    <w:multiLevelType w:val="multilevel"/>
    <w:tmpl w:val="077A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A3518"/>
    <w:multiLevelType w:val="multilevel"/>
    <w:tmpl w:val="314C8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C9456C"/>
    <w:multiLevelType w:val="multilevel"/>
    <w:tmpl w:val="FDB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4C6E21"/>
    <w:multiLevelType w:val="multilevel"/>
    <w:tmpl w:val="6B9E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FF585F"/>
    <w:multiLevelType w:val="multilevel"/>
    <w:tmpl w:val="FFCE4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FB490B"/>
    <w:multiLevelType w:val="hybridMultilevel"/>
    <w:tmpl w:val="EB7ED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677088">
    <w:abstractNumId w:val="10"/>
  </w:num>
  <w:num w:numId="2" w16cid:durableId="1396203322">
    <w:abstractNumId w:val="29"/>
  </w:num>
  <w:num w:numId="3" w16cid:durableId="77092787">
    <w:abstractNumId w:val="0"/>
  </w:num>
  <w:num w:numId="4" w16cid:durableId="1391997528">
    <w:abstractNumId w:val="24"/>
  </w:num>
  <w:num w:numId="5" w16cid:durableId="730464298">
    <w:abstractNumId w:val="6"/>
  </w:num>
  <w:num w:numId="6" w16cid:durableId="106044033">
    <w:abstractNumId w:val="13"/>
  </w:num>
  <w:num w:numId="7" w16cid:durableId="1819884532">
    <w:abstractNumId w:val="16"/>
  </w:num>
  <w:num w:numId="8" w16cid:durableId="974218761">
    <w:abstractNumId w:val="20"/>
  </w:num>
  <w:num w:numId="9" w16cid:durableId="1342929174">
    <w:abstractNumId w:val="27"/>
  </w:num>
  <w:num w:numId="10" w16cid:durableId="522134164">
    <w:abstractNumId w:val="30"/>
  </w:num>
  <w:num w:numId="11" w16cid:durableId="1977442222">
    <w:abstractNumId w:val="7"/>
  </w:num>
  <w:num w:numId="12" w16cid:durableId="586578117">
    <w:abstractNumId w:val="4"/>
  </w:num>
  <w:num w:numId="13" w16cid:durableId="943074840">
    <w:abstractNumId w:val="18"/>
  </w:num>
  <w:num w:numId="14" w16cid:durableId="725496392">
    <w:abstractNumId w:val="8"/>
  </w:num>
  <w:num w:numId="15" w16cid:durableId="948046275">
    <w:abstractNumId w:val="17"/>
  </w:num>
  <w:num w:numId="16" w16cid:durableId="1306737266">
    <w:abstractNumId w:val="19"/>
  </w:num>
  <w:num w:numId="17" w16cid:durableId="708262969">
    <w:abstractNumId w:val="25"/>
  </w:num>
  <w:num w:numId="18" w16cid:durableId="893468629">
    <w:abstractNumId w:val="14"/>
  </w:num>
  <w:num w:numId="19" w16cid:durableId="945576590">
    <w:abstractNumId w:val="31"/>
  </w:num>
  <w:num w:numId="20" w16cid:durableId="1614902308">
    <w:abstractNumId w:val="1"/>
  </w:num>
  <w:num w:numId="21" w16cid:durableId="722287900">
    <w:abstractNumId w:val="12"/>
  </w:num>
  <w:num w:numId="22" w16cid:durableId="2010449952">
    <w:abstractNumId w:val="5"/>
  </w:num>
  <w:num w:numId="23" w16cid:durableId="99222017">
    <w:abstractNumId w:val="23"/>
  </w:num>
  <w:num w:numId="24" w16cid:durableId="338587083">
    <w:abstractNumId w:val="22"/>
  </w:num>
  <w:num w:numId="25" w16cid:durableId="1119450927">
    <w:abstractNumId w:val="15"/>
  </w:num>
  <w:num w:numId="26" w16cid:durableId="1881353645">
    <w:abstractNumId w:val="28"/>
  </w:num>
  <w:num w:numId="27" w16cid:durableId="783155325">
    <w:abstractNumId w:val="32"/>
  </w:num>
  <w:num w:numId="28" w16cid:durableId="182938827">
    <w:abstractNumId w:val="26"/>
  </w:num>
  <w:num w:numId="29" w16cid:durableId="886454840">
    <w:abstractNumId w:val="2"/>
  </w:num>
  <w:num w:numId="30" w16cid:durableId="70666757">
    <w:abstractNumId w:val="21"/>
  </w:num>
  <w:num w:numId="31" w16cid:durableId="1794056801">
    <w:abstractNumId w:val="11"/>
  </w:num>
  <w:num w:numId="32" w16cid:durableId="1861428754">
    <w:abstractNumId w:val="3"/>
  </w:num>
  <w:num w:numId="33" w16cid:durableId="20015060">
    <w:abstractNumId w:val="33"/>
  </w:num>
  <w:num w:numId="34" w16cid:durableId="107558624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B3DEB"/>
    <w:rsid w:val="000D16AD"/>
    <w:rsid w:val="000E46FC"/>
    <w:rsid w:val="000F4738"/>
    <w:rsid w:val="00257BB0"/>
    <w:rsid w:val="002629A2"/>
    <w:rsid w:val="00275464"/>
    <w:rsid w:val="0028073C"/>
    <w:rsid w:val="00487EB0"/>
    <w:rsid w:val="004C19EE"/>
    <w:rsid w:val="004F4184"/>
    <w:rsid w:val="005A1055"/>
    <w:rsid w:val="005E5F64"/>
    <w:rsid w:val="00830BFE"/>
    <w:rsid w:val="00875EB9"/>
    <w:rsid w:val="00880C0F"/>
    <w:rsid w:val="008B2B66"/>
    <w:rsid w:val="008B4C1F"/>
    <w:rsid w:val="00A300C2"/>
    <w:rsid w:val="00B02A5B"/>
    <w:rsid w:val="00BE530D"/>
    <w:rsid w:val="00C15DDB"/>
    <w:rsid w:val="00E03083"/>
    <w:rsid w:val="00FC2D3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F56F2"/>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6AD"/>
    <w:rPr>
      <w:color w:val="000000" w:themeColor="text1"/>
      <w:sz w:val="28"/>
    </w:rPr>
  </w:style>
  <w:style w:type="paragraph" w:styleId="Heading1">
    <w:name w:val="heading 1"/>
    <w:basedOn w:val="Normal"/>
    <w:link w:val="Heading1Char"/>
    <w:uiPriority w:val="9"/>
    <w:qFormat/>
    <w:rsid w:val="000D16AD"/>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0D16AD"/>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0D16AD"/>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6AD"/>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0D16AD"/>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0D16AD"/>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E03083"/>
    <w:pPr>
      <w:ind w:left="720"/>
      <w:contextualSpacing/>
    </w:pPr>
  </w:style>
  <w:style w:type="paragraph" w:styleId="Header">
    <w:name w:val="header"/>
    <w:basedOn w:val="Normal"/>
    <w:link w:val="HeaderChar"/>
    <w:uiPriority w:val="99"/>
    <w:unhideWhenUsed/>
    <w:rsid w:val="00E03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083"/>
    <w:rPr>
      <w:color w:val="000000" w:themeColor="text1"/>
      <w:sz w:val="28"/>
    </w:rPr>
  </w:style>
  <w:style w:type="paragraph" w:styleId="Footer">
    <w:name w:val="footer"/>
    <w:basedOn w:val="Normal"/>
    <w:link w:val="FooterChar"/>
    <w:uiPriority w:val="99"/>
    <w:unhideWhenUsed/>
    <w:rsid w:val="00E03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083"/>
    <w:rPr>
      <w:color w:val="000000" w:themeColor="text1"/>
      <w:sz w:val="28"/>
    </w:rPr>
  </w:style>
  <w:style w:type="paragraph" w:styleId="TOCHeading">
    <w:name w:val="TOC Heading"/>
    <w:basedOn w:val="Heading1"/>
    <w:next w:val="Normal"/>
    <w:uiPriority w:val="39"/>
    <w:unhideWhenUsed/>
    <w:qFormat/>
    <w:rsid w:val="00E0308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E03083"/>
    <w:pPr>
      <w:spacing w:after="100"/>
    </w:pPr>
  </w:style>
  <w:style w:type="paragraph" w:styleId="TOC2">
    <w:name w:val="toc 2"/>
    <w:basedOn w:val="Normal"/>
    <w:next w:val="Normal"/>
    <w:autoRedefine/>
    <w:uiPriority w:val="39"/>
    <w:unhideWhenUsed/>
    <w:rsid w:val="00E03083"/>
    <w:pPr>
      <w:spacing w:after="100"/>
      <w:ind w:left="280"/>
    </w:pPr>
  </w:style>
  <w:style w:type="paragraph" w:styleId="TOC3">
    <w:name w:val="toc 3"/>
    <w:basedOn w:val="Normal"/>
    <w:next w:val="Normal"/>
    <w:autoRedefine/>
    <w:uiPriority w:val="39"/>
    <w:unhideWhenUsed/>
    <w:rsid w:val="00E03083"/>
    <w:pPr>
      <w:spacing w:after="100"/>
      <w:ind w:left="560"/>
    </w:pPr>
  </w:style>
  <w:style w:type="paragraph" w:styleId="NoSpacing">
    <w:name w:val="No Spacing"/>
    <w:link w:val="NoSpacingChar"/>
    <w:uiPriority w:val="1"/>
    <w:qFormat/>
    <w:rsid w:val="00E03083"/>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E03083"/>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5858384">
      <w:bodyDiv w:val="1"/>
      <w:marLeft w:val="0"/>
      <w:marRight w:val="0"/>
      <w:marTop w:val="0"/>
      <w:marBottom w:val="0"/>
      <w:divBdr>
        <w:top w:val="none" w:sz="0" w:space="0" w:color="auto"/>
        <w:left w:val="none" w:sz="0" w:space="0" w:color="auto"/>
        <w:bottom w:val="none" w:sz="0" w:space="0" w:color="auto"/>
        <w:right w:val="none" w:sz="0" w:space="0" w:color="auto"/>
      </w:divBdr>
      <w:divsChild>
        <w:div w:id="742064509">
          <w:marLeft w:val="0"/>
          <w:marRight w:val="0"/>
          <w:marTop w:val="30"/>
          <w:marBottom w:val="0"/>
          <w:divBdr>
            <w:top w:val="none" w:sz="0" w:space="0" w:color="auto"/>
            <w:left w:val="none" w:sz="0" w:space="0" w:color="auto"/>
            <w:bottom w:val="none" w:sz="0" w:space="0" w:color="auto"/>
            <w:right w:val="none" w:sz="0" w:space="0" w:color="auto"/>
          </w:divBdr>
          <w:divsChild>
            <w:div w:id="1456410119">
              <w:marLeft w:val="0"/>
              <w:marRight w:val="0"/>
              <w:marTop w:val="0"/>
              <w:marBottom w:val="0"/>
              <w:divBdr>
                <w:top w:val="none" w:sz="0" w:space="0" w:color="auto"/>
                <w:left w:val="none" w:sz="0" w:space="0" w:color="auto"/>
                <w:bottom w:val="none" w:sz="0" w:space="0" w:color="auto"/>
                <w:right w:val="none" w:sz="0" w:space="0" w:color="auto"/>
              </w:divBdr>
              <w:divsChild>
                <w:div w:id="1502163587">
                  <w:marLeft w:val="0"/>
                  <w:marRight w:val="0"/>
                  <w:marTop w:val="0"/>
                  <w:marBottom w:val="0"/>
                  <w:divBdr>
                    <w:top w:val="none" w:sz="0" w:space="0" w:color="auto"/>
                    <w:left w:val="none" w:sz="0" w:space="0" w:color="auto"/>
                    <w:bottom w:val="none" w:sz="0" w:space="0" w:color="auto"/>
                    <w:right w:val="none" w:sz="0" w:space="0" w:color="auto"/>
                  </w:divBdr>
                  <w:divsChild>
                    <w:div w:id="938176482">
                      <w:marLeft w:val="-75"/>
                      <w:marRight w:val="-75"/>
                      <w:marTop w:val="0"/>
                      <w:marBottom w:val="0"/>
                      <w:divBdr>
                        <w:top w:val="none" w:sz="0" w:space="0" w:color="auto"/>
                        <w:left w:val="none" w:sz="0" w:space="0" w:color="auto"/>
                        <w:bottom w:val="none" w:sz="0" w:space="0" w:color="auto"/>
                        <w:right w:val="none" w:sz="0" w:space="0" w:color="auto"/>
                      </w:divBdr>
                      <w:divsChild>
                        <w:div w:id="685786475">
                          <w:marLeft w:val="0"/>
                          <w:marRight w:val="0"/>
                          <w:marTop w:val="0"/>
                          <w:marBottom w:val="0"/>
                          <w:divBdr>
                            <w:top w:val="none" w:sz="0" w:space="0" w:color="auto"/>
                            <w:left w:val="none" w:sz="0" w:space="0" w:color="auto"/>
                            <w:bottom w:val="none" w:sz="0" w:space="0" w:color="auto"/>
                            <w:right w:val="none" w:sz="0" w:space="0" w:color="auto"/>
                          </w:divBdr>
                          <w:divsChild>
                            <w:div w:id="1786926831">
                              <w:marLeft w:val="0"/>
                              <w:marRight w:val="0"/>
                              <w:marTop w:val="0"/>
                              <w:marBottom w:val="0"/>
                              <w:divBdr>
                                <w:top w:val="none" w:sz="0" w:space="0" w:color="auto"/>
                                <w:left w:val="single" w:sz="6" w:space="9" w:color="AFAFAA"/>
                                <w:bottom w:val="none" w:sz="0" w:space="0" w:color="auto"/>
                                <w:right w:val="single" w:sz="6" w:space="9" w:color="AFAFAA"/>
                              </w:divBdr>
                              <w:divsChild>
                                <w:div w:id="1392927830">
                                  <w:marLeft w:val="0"/>
                                  <w:marRight w:val="0"/>
                                  <w:marTop w:val="0"/>
                                  <w:marBottom w:val="0"/>
                                  <w:divBdr>
                                    <w:top w:val="none" w:sz="0" w:space="0" w:color="auto"/>
                                    <w:left w:val="none" w:sz="0" w:space="0" w:color="auto"/>
                                    <w:bottom w:val="none" w:sz="0" w:space="0" w:color="auto"/>
                                    <w:right w:val="none" w:sz="0" w:space="0" w:color="auto"/>
                                  </w:divBdr>
                                  <w:divsChild>
                                    <w:div w:id="967471201">
                                      <w:marLeft w:val="0"/>
                                      <w:marRight w:val="0"/>
                                      <w:marTop w:val="0"/>
                                      <w:marBottom w:val="0"/>
                                      <w:divBdr>
                                        <w:top w:val="none" w:sz="0" w:space="0" w:color="auto"/>
                                        <w:left w:val="none" w:sz="0" w:space="0" w:color="auto"/>
                                        <w:bottom w:val="none" w:sz="0" w:space="0" w:color="auto"/>
                                        <w:right w:val="none" w:sz="0" w:space="0" w:color="auto"/>
                                      </w:divBdr>
                                      <w:divsChild>
                                        <w:div w:id="154848999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71336278">
          <w:marLeft w:val="0"/>
          <w:marRight w:val="0"/>
          <w:marTop w:val="150"/>
          <w:marBottom w:val="0"/>
          <w:divBdr>
            <w:top w:val="none" w:sz="0" w:space="0" w:color="auto"/>
            <w:left w:val="none" w:sz="0" w:space="0" w:color="auto"/>
            <w:bottom w:val="none" w:sz="0" w:space="0" w:color="auto"/>
            <w:right w:val="none" w:sz="0" w:space="0" w:color="auto"/>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09125739">
      <w:bodyDiv w:val="1"/>
      <w:marLeft w:val="0"/>
      <w:marRight w:val="0"/>
      <w:marTop w:val="0"/>
      <w:marBottom w:val="0"/>
      <w:divBdr>
        <w:top w:val="none" w:sz="0" w:space="0" w:color="auto"/>
        <w:left w:val="none" w:sz="0" w:space="0" w:color="auto"/>
        <w:bottom w:val="none" w:sz="0" w:space="0" w:color="auto"/>
        <w:right w:val="none" w:sz="0" w:space="0" w:color="auto"/>
      </w:divBdr>
      <w:divsChild>
        <w:div w:id="2146894981">
          <w:marLeft w:val="0"/>
          <w:marRight w:val="0"/>
          <w:marTop w:val="30"/>
          <w:marBottom w:val="0"/>
          <w:divBdr>
            <w:top w:val="none" w:sz="0" w:space="0" w:color="auto"/>
            <w:left w:val="none" w:sz="0" w:space="0" w:color="auto"/>
            <w:bottom w:val="none" w:sz="0" w:space="0" w:color="auto"/>
            <w:right w:val="none" w:sz="0" w:space="0" w:color="auto"/>
          </w:divBdr>
          <w:divsChild>
            <w:div w:id="700516709">
              <w:marLeft w:val="0"/>
              <w:marRight w:val="0"/>
              <w:marTop w:val="0"/>
              <w:marBottom w:val="0"/>
              <w:divBdr>
                <w:top w:val="none" w:sz="0" w:space="0" w:color="auto"/>
                <w:left w:val="none" w:sz="0" w:space="0" w:color="auto"/>
                <w:bottom w:val="none" w:sz="0" w:space="0" w:color="auto"/>
                <w:right w:val="none" w:sz="0" w:space="0" w:color="auto"/>
              </w:divBdr>
              <w:divsChild>
                <w:div w:id="549078652">
                  <w:marLeft w:val="0"/>
                  <w:marRight w:val="0"/>
                  <w:marTop w:val="0"/>
                  <w:marBottom w:val="0"/>
                  <w:divBdr>
                    <w:top w:val="none" w:sz="0" w:space="0" w:color="auto"/>
                    <w:left w:val="none" w:sz="0" w:space="0" w:color="auto"/>
                    <w:bottom w:val="none" w:sz="0" w:space="0" w:color="auto"/>
                    <w:right w:val="none" w:sz="0" w:space="0" w:color="auto"/>
                  </w:divBdr>
                  <w:divsChild>
                    <w:div w:id="1663196624">
                      <w:marLeft w:val="-75"/>
                      <w:marRight w:val="-75"/>
                      <w:marTop w:val="0"/>
                      <w:marBottom w:val="0"/>
                      <w:divBdr>
                        <w:top w:val="none" w:sz="0" w:space="0" w:color="auto"/>
                        <w:left w:val="none" w:sz="0" w:space="0" w:color="auto"/>
                        <w:bottom w:val="none" w:sz="0" w:space="0" w:color="auto"/>
                        <w:right w:val="none" w:sz="0" w:space="0" w:color="auto"/>
                      </w:divBdr>
                      <w:divsChild>
                        <w:div w:id="1148865283">
                          <w:marLeft w:val="0"/>
                          <w:marRight w:val="0"/>
                          <w:marTop w:val="0"/>
                          <w:marBottom w:val="0"/>
                          <w:divBdr>
                            <w:top w:val="none" w:sz="0" w:space="0" w:color="auto"/>
                            <w:left w:val="none" w:sz="0" w:space="0" w:color="auto"/>
                            <w:bottom w:val="none" w:sz="0" w:space="0" w:color="auto"/>
                            <w:right w:val="none" w:sz="0" w:space="0" w:color="auto"/>
                          </w:divBdr>
                          <w:divsChild>
                            <w:div w:id="364596918">
                              <w:marLeft w:val="0"/>
                              <w:marRight w:val="0"/>
                              <w:marTop w:val="0"/>
                              <w:marBottom w:val="0"/>
                              <w:divBdr>
                                <w:top w:val="none" w:sz="0" w:space="0" w:color="auto"/>
                                <w:left w:val="single" w:sz="6" w:space="9" w:color="AFAFAA"/>
                                <w:bottom w:val="none" w:sz="0" w:space="0" w:color="auto"/>
                                <w:right w:val="single" w:sz="6" w:space="9" w:color="AFAFAA"/>
                              </w:divBdr>
                              <w:divsChild>
                                <w:div w:id="1446924144">
                                  <w:marLeft w:val="0"/>
                                  <w:marRight w:val="0"/>
                                  <w:marTop w:val="0"/>
                                  <w:marBottom w:val="0"/>
                                  <w:divBdr>
                                    <w:top w:val="none" w:sz="0" w:space="0" w:color="auto"/>
                                    <w:left w:val="none" w:sz="0" w:space="0" w:color="auto"/>
                                    <w:bottom w:val="none" w:sz="0" w:space="0" w:color="auto"/>
                                    <w:right w:val="none" w:sz="0" w:space="0" w:color="auto"/>
                                  </w:divBdr>
                                  <w:divsChild>
                                    <w:div w:id="17426740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68367067">
      <w:bodyDiv w:val="1"/>
      <w:marLeft w:val="0"/>
      <w:marRight w:val="0"/>
      <w:marTop w:val="0"/>
      <w:marBottom w:val="0"/>
      <w:divBdr>
        <w:top w:val="none" w:sz="0" w:space="0" w:color="auto"/>
        <w:left w:val="none" w:sz="0" w:space="0" w:color="auto"/>
        <w:bottom w:val="none" w:sz="0" w:space="0" w:color="auto"/>
        <w:right w:val="none" w:sz="0" w:space="0" w:color="auto"/>
      </w:divBdr>
      <w:divsChild>
        <w:div w:id="344483667">
          <w:marLeft w:val="0"/>
          <w:marRight w:val="0"/>
          <w:marTop w:val="30"/>
          <w:marBottom w:val="0"/>
          <w:divBdr>
            <w:top w:val="none" w:sz="0" w:space="0" w:color="auto"/>
            <w:left w:val="none" w:sz="0" w:space="0" w:color="auto"/>
            <w:bottom w:val="none" w:sz="0" w:space="0" w:color="auto"/>
            <w:right w:val="none" w:sz="0" w:space="0" w:color="auto"/>
          </w:divBdr>
          <w:divsChild>
            <w:div w:id="1587299373">
              <w:marLeft w:val="0"/>
              <w:marRight w:val="0"/>
              <w:marTop w:val="0"/>
              <w:marBottom w:val="0"/>
              <w:divBdr>
                <w:top w:val="none" w:sz="0" w:space="0" w:color="auto"/>
                <w:left w:val="none" w:sz="0" w:space="0" w:color="auto"/>
                <w:bottom w:val="none" w:sz="0" w:space="0" w:color="auto"/>
                <w:right w:val="none" w:sz="0" w:space="0" w:color="auto"/>
              </w:divBdr>
              <w:divsChild>
                <w:div w:id="347800855">
                  <w:marLeft w:val="0"/>
                  <w:marRight w:val="0"/>
                  <w:marTop w:val="0"/>
                  <w:marBottom w:val="0"/>
                  <w:divBdr>
                    <w:top w:val="none" w:sz="0" w:space="0" w:color="auto"/>
                    <w:left w:val="none" w:sz="0" w:space="0" w:color="auto"/>
                    <w:bottom w:val="none" w:sz="0" w:space="0" w:color="auto"/>
                    <w:right w:val="none" w:sz="0" w:space="0" w:color="auto"/>
                  </w:divBdr>
                  <w:divsChild>
                    <w:div w:id="358773608">
                      <w:marLeft w:val="-75"/>
                      <w:marRight w:val="-75"/>
                      <w:marTop w:val="0"/>
                      <w:marBottom w:val="0"/>
                      <w:divBdr>
                        <w:top w:val="none" w:sz="0" w:space="0" w:color="auto"/>
                        <w:left w:val="none" w:sz="0" w:space="0" w:color="auto"/>
                        <w:bottom w:val="none" w:sz="0" w:space="0" w:color="auto"/>
                        <w:right w:val="none" w:sz="0" w:space="0" w:color="auto"/>
                      </w:divBdr>
                      <w:divsChild>
                        <w:div w:id="528686663">
                          <w:marLeft w:val="0"/>
                          <w:marRight w:val="0"/>
                          <w:marTop w:val="0"/>
                          <w:marBottom w:val="0"/>
                          <w:divBdr>
                            <w:top w:val="none" w:sz="0" w:space="0" w:color="auto"/>
                            <w:left w:val="none" w:sz="0" w:space="0" w:color="auto"/>
                            <w:bottom w:val="none" w:sz="0" w:space="0" w:color="auto"/>
                            <w:right w:val="none" w:sz="0" w:space="0" w:color="auto"/>
                          </w:divBdr>
                          <w:divsChild>
                            <w:div w:id="2089691697">
                              <w:marLeft w:val="0"/>
                              <w:marRight w:val="0"/>
                              <w:marTop w:val="0"/>
                              <w:marBottom w:val="0"/>
                              <w:divBdr>
                                <w:top w:val="none" w:sz="0" w:space="0" w:color="auto"/>
                                <w:left w:val="single" w:sz="6" w:space="9" w:color="AFAFAA"/>
                                <w:bottom w:val="none" w:sz="0" w:space="0" w:color="auto"/>
                                <w:right w:val="single" w:sz="6" w:space="9" w:color="AFAFAA"/>
                              </w:divBdr>
                              <w:divsChild>
                                <w:div w:id="925073403">
                                  <w:marLeft w:val="0"/>
                                  <w:marRight w:val="0"/>
                                  <w:marTop w:val="0"/>
                                  <w:marBottom w:val="0"/>
                                  <w:divBdr>
                                    <w:top w:val="none" w:sz="0" w:space="0" w:color="auto"/>
                                    <w:left w:val="none" w:sz="0" w:space="0" w:color="auto"/>
                                    <w:bottom w:val="none" w:sz="0" w:space="0" w:color="auto"/>
                                    <w:right w:val="none" w:sz="0" w:space="0" w:color="auto"/>
                                  </w:divBdr>
                                  <w:divsChild>
                                    <w:div w:id="317611996">
                                      <w:marLeft w:val="0"/>
                                      <w:marRight w:val="0"/>
                                      <w:marTop w:val="0"/>
                                      <w:marBottom w:val="0"/>
                                      <w:divBdr>
                                        <w:top w:val="none" w:sz="0" w:space="0" w:color="auto"/>
                                        <w:left w:val="none" w:sz="0" w:space="0" w:color="auto"/>
                                        <w:bottom w:val="none" w:sz="0" w:space="0" w:color="auto"/>
                                        <w:right w:val="none" w:sz="0" w:space="0" w:color="auto"/>
                                      </w:divBdr>
                                      <w:divsChild>
                                        <w:div w:id="504629728">
                                          <w:marLeft w:val="0"/>
                                          <w:marRight w:val="0"/>
                                          <w:marTop w:val="120"/>
                                          <w:marBottom w:val="0"/>
                                          <w:divBdr>
                                            <w:top w:val="single" w:sz="12" w:space="2" w:color="D5E28D"/>
                                            <w:left w:val="single" w:sz="12" w:space="6" w:color="D5E28D"/>
                                            <w:bottom w:val="single" w:sz="12" w:space="9" w:color="D5E28D"/>
                                            <w:right w:val="single" w:sz="12" w:space="6" w:color="D5E28D"/>
                                          </w:divBdr>
                                        </w:div>
                                        <w:div w:id="52503915">
                                          <w:marLeft w:val="0"/>
                                          <w:marRight w:val="0"/>
                                          <w:marTop w:val="0"/>
                                          <w:marBottom w:val="0"/>
                                          <w:divBdr>
                                            <w:top w:val="none" w:sz="0" w:space="0" w:color="auto"/>
                                            <w:left w:val="none" w:sz="0" w:space="0" w:color="auto"/>
                                            <w:bottom w:val="none" w:sz="0" w:space="0" w:color="auto"/>
                                            <w:right w:val="none" w:sz="0" w:space="0" w:color="auto"/>
                                          </w:divBdr>
                                          <w:divsChild>
                                            <w:div w:id="17768987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70196990">
                                                  <w:marLeft w:val="0"/>
                                                  <w:marRight w:val="90"/>
                                                  <w:marTop w:val="0"/>
                                                  <w:marBottom w:val="0"/>
                                                  <w:divBdr>
                                                    <w:top w:val="none" w:sz="0" w:space="0" w:color="auto"/>
                                                    <w:left w:val="none" w:sz="0" w:space="0" w:color="auto"/>
                                                    <w:bottom w:val="none" w:sz="0" w:space="0" w:color="auto"/>
                                                    <w:right w:val="none" w:sz="0" w:space="0" w:color="auto"/>
                                                  </w:divBdr>
                                                </w:div>
                                                <w:div w:id="360057746">
                                                  <w:marLeft w:val="0"/>
                                                  <w:marRight w:val="0"/>
                                                  <w:marTop w:val="0"/>
                                                  <w:marBottom w:val="0"/>
                                                  <w:divBdr>
                                                    <w:top w:val="none" w:sz="0" w:space="0" w:color="auto"/>
                                                    <w:left w:val="none" w:sz="0" w:space="0" w:color="auto"/>
                                                    <w:bottom w:val="none" w:sz="0" w:space="0" w:color="auto"/>
                                                    <w:right w:val="none" w:sz="0" w:space="0" w:color="auto"/>
                                                  </w:divBdr>
                                                </w:div>
                                              </w:divsChild>
                                            </w:div>
                                            <w:div w:id="188564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51448642">
                                                  <w:marLeft w:val="0"/>
                                                  <w:marRight w:val="90"/>
                                                  <w:marTop w:val="0"/>
                                                  <w:marBottom w:val="0"/>
                                                  <w:divBdr>
                                                    <w:top w:val="none" w:sz="0" w:space="0" w:color="auto"/>
                                                    <w:left w:val="none" w:sz="0" w:space="0" w:color="auto"/>
                                                    <w:bottom w:val="none" w:sz="0" w:space="0" w:color="auto"/>
                                                    <w:right w:val="none" w:sz="0" w:space="0" w:color="auto"/>
                                                  </w:divBdr>
                                                </w:div>
                                                <w:div w:id="6343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81967">
                                      <w:marLeft w:val="0"/>
                                      <w:marRight w:val="0"/>
                                      <w:marTop w:val="120"/>
                                      <w:marBottom w:val="0"/>
                                      <w:divBdr>
                                        <w:top w:val="single" w:sz="12" w:space="2" w:color="D5E28D"/>
                                        <w:left w:val="single" w:sz="12" w:space="6" w:color="D5E28D"/>
                                        <w:bottom w:val="single" w:sz="12" w:space="9" w:color="D5E28D"/>
                                        <w:right w:val="single" w:sz="12" w:space="6" w:color="D5E28D"/>
                                      </w:divBdr>
                                    </w:div>
                                    <w:div w:id="99341026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co.org.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egislation.gov.uk/ukpga/2000/36/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organisations/charity-commission/about/personal-information-charte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gs.charitycommission.gov.uk/g117a006.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2BC49A0A9C45019F55DE432F51A6EC"/>
        <w:category>
          <w:name w:val="General"/>
          <w:gallery w:val="placeholder"/>
        </w:category>
        <w:types>
          <w:type w:val="bbPlcHdr"/>
        </w:types>
        <w:behaviors>
          <w:behavior w:val="content"/>
        </w:behaviors>
        <w:guid w:val="{FD72FBFD-14F8-491F-BD60-D31E6D86D331}"/>
      </w:docPartPr>
      <w:docPartBody>
        <w:p w:rsidR="003D5AF2" w:rsidRDefault="00E72172" w:rsidP="00E72172">
          <w:pPr>
            <w:pStyle w:val="C72BC49A0A9C45019F55DE432F51A6EC"/>
          </w:pPr>
          <w:r>
            <w:rPr>
              <w:rFonts w:asciiTheme="majorHAnsi" w:eastAsiaTheme="majorEastAsia" w:hAnsiTheme="majorHAnsi" w:cstheme="majorBidi"/>
              <w:color w:val="156082" w:themeColor="accent1"/>
              <w:sz w:val="88"/>
              <w:szCs w:val="88"/>
            </w:rPr>
            <w:t>[Document title]</w:t>
          </w:r>
        </w:p>
      </w:docPartBody>
    </w:docPart>
    <w:docPart>
      <w:docPartPr>
        <w:name w:val="9F33CEA737F4408A8B8A2115547FFC71"/>
        <w:category>
          <w:name w:val="General"/>
          <w:gallery w:val="placeholder"/>
        </w:category>
        <w:types>
          <w:type w:val="bbPlcHdr"/>
        </w:types>
        <w:behaviors>
          <w:behavior w:val="content"/>
        </w:behaviors>
        <w:guid w:val="{5AFA453D-26C7-46DE-8E54-26D8277969C5}"/>
      </w:docPartPr>
      <w:docPartBody>
        <w:p w:rsidR="003D5AF2" w:rsidRDefault="00E72172" w:rsidP="00E72172">
          <w:pPr>
            <w:pStyle w:val="9F33CEA737F4408A8B8A2115547FFC71"/>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72"/>
    <w:rsid w:val="000B5118"/>
    <w:rsid w:val="003D5AF2"/>
    <w:rsid w:val="00E72172"/>
    <w:rsid w:val="00FC2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2BC49A0A9C45019F55DE432F51A6EC">
    <w:name w:val="C72BC49A0A9C45019F55DE432F51A6EC"/>
    <w:rsid w:val="00E72172"/>
  </w:style>
  <w:style w:type="paragraph" w:customStyle="1" w:styleId="9F33CEA737F4408A8B8A2115547FFC71">
    <w:name w:val="9F33CEA737F4408A8B8A2115547FFC71"/>
    <w:rsid w:val="00E72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A9900692</value>
    </field>
    <field name="Objective-Title">
      <value order="0">OG117-2 - Web - 06122019</value>
    </field>
    <field name="Objective-Description">
      <value order="0"/>
    </field>
    <field name="Objective-CreationStamp">
      <value order="0">2019-12-06T13:37:01Z</value>
    </field>
    <field name="Objective-IsApproved">
      <value order="0">false</value>
    </field>
    <field name="Objective-IsPublished">
      <value order="0">true</value>
    </field>
    <field name="Objective-DatePublished">
      <value order="0">2023-04-17T12:55:33Z</value>
    </field>
    <field name="Objective-ModificationStamp">
      <value order="0">2023-04-17T12:55:33Z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vA14529017</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OG117-2 -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49F0B6A8-CD7D-455E-B0E8-3F63E8AB0ED3}">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 – Considering Cases in a Regulatory Framework</dc:title>
  <dc:subject>OG117-2</dc:subject>
  <dc:creator>George Bateman</dc:creator>
  <cp:keywords/>
  <dc:description/>
  <cp:lastModifiedBy>Phestus Mokae</cp:lastModifiedBy>
  <cp:revision>3</cp:revision>
  <dcterms:created xsi:type="dcterms:W3CDTF">2025-06-16T08:06:00Z</dcterms:created>
  <dcterms:modified xsi:type="dcterms:W3CDTF">2025-06-16T08:07:00Z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A9900692</vt:lpwstr>
  </property>
  <property fmtid="{D5CDD505-2E9C-101B-9397-08002B2CF9AE}" pid="4" name="Objective-Title">
    <vt:lpwstr>OG117-2 - Web - 06122019</vt:lpwstr>
  </property>
  <property fmtid="{D5CDD505-2E9C-101B-9397-08002B2CF9AE}" pid="5" name="Objective-Description">
    <vt:lpwstr/>
  </property>
  <property fmtid="{D5CDD505-2E9C-101B-9397-08002B2CF9AE}" pid="6" name="Objective-CreationStamp">
    <vt:filetime>2019-12-12T13:19:48Z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2023-04-17T12:55:33Z</vt:filetime>
  </property>
  <property fmtid="{D5CDD505-2E9C-101B-9397-08002B2CF9AE}" pid="10" name="Objective-ModificationStamp">
    <vt:filetime>2023-04-17T12:55:33Z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vA14529017</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OG117-2 -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