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27376422"/>
        <w:docPartObj>
          <w:docPartGallery w:val="Cover Pages"/>
          <w:docPartUnique/>
        </w:docPartObj>
      </w:sdtPr>
      <w:sdtEndPr>
        <w:rPr>
          <w:rFonts w:eastAsia="Times New Roman" w:cs="Arial"/>
          <w:b/>
          <w:bCs/>
          <w:color w:val="000000"/>
          <w:kern w:val="36"/>
          <w:sz w:val="32"/>
          <w:szCs w:val="32"/>
          <w:lang w:eastAsia="en-GB"/>
        </w:rPr>
      </w:sdtEndPr>
      <w:sdtContent>
        <w:p w14:paraId="081E3BFA" w14:textId="77777777" w:rsidR="009F57C4" w:rsidRDefault="009F57C4" w:rsidP="009F57C4">
          <w:r>
            <w:rPr>
              <w:noProof/>
            </w:rPr>
            <w:drawing>
              <wp:inline distT="0" distB="0" distL="0" distR="0" wp14:anchorId="2ED0F775" wp14:editId="21B20C43">
                <wp:extent cx="5873400" cy="1179830"/>
                <wp:effectExtent l="0" t="0" r="0" b="127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9F57C4" w:rsidRPr="00D61E62" w14:paraId="2717B06B" w14:textId="77777777" w:rsidTr="00281B33">
            <w:trPr>
              <w:trHeight w:val="53"/>
            </w:trPr>
            <w:tc>
              <w:tcPr>
                <w:tcW w:w="8025" w:type="dxa"/>
                <w:tcMar>
                  <w:top w:w="216" w:type="dxa"/>
                  <w:left w:w="115" w:type="dxa"/>
                  <w:bottom w:w="216" w:type="dxa"/>
                  <w:right w:w="115" w:type="dxa"/>
                </w:tcMar>
              </w:tcPr>
              <w:p w14:paraId="0AEFA849" w14:textId="77777777" w:rsidR="009F57C4" w:rsidRPr="00D61E62" w:rsidRDefault="009F57C4" w:rsidP="00281B33">
                <w:pPr>
                  <w:pStyle w:val="NoSpacing"/>
                  <w:rPr>
                    <w:color w:val="002060"/>
                  </w:rPr>
                </w:pPr>
              </w:p>
            </w:tc>
          </w:tr>
          <w:tr w:rsidR="009F57C4" w:rsidRPr="00D61E62" w14:paraId="39E142A3" w14:textId="77777777" w:rsidTr="00281B33">
            <w:trPr>
              <w:trHeight w:val="392"/>
            </w:trPr>
            <w:tc>
              <w:tcPr>
                <w:tcW w:w="8025" w:type="dxa"/>
              </w:tcPr>
              <w:sdt>
                <w:sdtPr>
                  <w:rPr>
                    <w:rFonts w:eastAsia="Times New Roman" w:cs="Arial"/>
                    <w:color w:val="002060"/>
                    <w:sz w:val="76"/>
                    <w:szCs w:val="76"/>
                  </w:rPr>
                  <w:alias w:val="Title"/>
                  <w:id w:val="13406919"/>
                  <w:placeholder>
                    <w:docPart w:val="A3C824EA809B4E928D1AAC9294B34078"/>
                  </w:placeholder>
                  <w:dataBinding w:prefixMappings="xmlns:ns0='http://schemas.openxmlformats.org/package/2006/metadata/core-properties' xmlns:ns1='http://purl.org/dc/elements/1.1/'" w:xpath="/ns0:coreProperties[1]/ns1:title[1]" w:storeItemID="{6C3C8BC8-F283-45AE-878A-BAB7291924A1}"/>
                  <w:text/>
                </w:sdtPr>
                <w:sdtEndPr/>
                <w:sdtContent>
                  <w:p w14:paraId="52D7BFAD" w14:textId="780D74C3" w:rsidR="009F57C4" w:rsidRPr="00561FC3" w:rsidRDefault="00812035" w:rsidP="00281B33">
                    <w:pPr>
                      <w:pStyle w:val="NoSpacing"/>
                      <w:spacing w:line="216" w:lineRule="auto"/>
                      <w:rPr>
                        <w:rFonts w:eastAsiaTheme="majorEastAsia" w:cs="Arial"/>
                        <w:color w:val="002060"/>
                        <w:sz w:val="76"/>
                        <w:szCs w:val="76"/>
                      </w:rPr>
                    </w:pPr>
                    <w:r>
                      <w:rPr>
                        <w:rFonts w:eastAsia="Times New Roman" w:cs="Arial"/>
                        <w:color w:val="002060"/>
                        <w:sz w:val="76"/>
                        <w:szCs w:val="76"/>
                      </w:rPr>
                      <w:t>The Statutory Power to Pay for Goods and /or Services Provided by a Trustee</w:t>
                    </w:r>
                  </w:p>
                </w:sdtContent>
              </w:sdt>
            </w:tc>
          </w:tr>
          <w:tr w:rsidR="009F57C4" w:rsidRPr="00D61E62" w14:paraId="7F4CF5A6" w14:textId="77777777" w:rsidTr="00281B33">
            <w:trPr>
              <w:trHeight w:val="392"/>
            </w:trPr>
            <w:tc>
              <w:tcPr>
                <w:tcW w:w="8025" w:type="dxa"/>
              </w:tcPr>
              <w:p w14:paraId="11C64B8C" w14:textId="77777777" w:rsidR="009F57C4" w:rsidRPr="00D61E62" w:rsidRDefault="009F57C4" w:rsidP="00281B33">
                <w:pPr>
                  <w:pStyle w:val="NoSpacing"/>
                  <w:spacing w:line="216" w:lineRule="auto"/>
                  <w:rPr>
                    <w:rFonts w:eastAsiaTheme="majorEastAsia" w:cs="Arial"/>
                    <w:color w:val="002060"/>
                    <w:sz w:val="88"/>
                    <w:szCs w:val="88"/>
                  </w:rPr>
                </w:pPr>
              </w:p>
            </w:tc>
          </w:tr>
          <w:tr w:rsidR="009F57C4" w:rsidRPr="00D61E62" w14:paraId="26254D56" w14:textId="77777777" w:rsidTr="00281B33">
            <w:trPr>
              <w:trHeight w:val="89"/>
            </w:trPr>
            <w:sdt>
              <w:sdtPr>
                <w:rPr>
                  <w:rFonts w:cs="Arial"/>
                  <w:color w:val="002060"/>
                  <w:sz w:val="56"/>
                  <w:szCs w:val="56"/>
                </w:rPr>
                <w:alias w:val="Subtitle"/>
                <w:id w:val="13406923"/>
                <w:placeholder>
                  <w:docPart w:val="E8D754CFF9A14AE489840CD3556F3799"/>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678DF8F" w14:textId="679A33C3" w:rsidR="009F57C4" w:rsidRPr="00D61E62" w:rsidRDefault="00812035" w:rsidP="00281B33">
                    <w:pPr>
                      <w:pStyle w:val="NoSpacing"/>
                      <w:rPr>
                        <w:color w:val="002060"/>
                      </w:rPr>
                    </w:pPr>
                    <w:r>
                      <w:rPr>
                        <w:rFonts w:cs="Arial"/>
                        <w:color w:val="002060"/>
                        <w:sz w:val="56"/>
                        <w:szCs w:val="56"/>
                      </w:rPr>
                      <w:t>OG515-2</w:t>
                    </w:r>
                  </w:p>
                </w:tc>
              </w:sdtContent>
            </w:sdt>
          </w:tr>
          <w:tr w:rsidR="009F57C4" w:rsidRPr="00D61E62" w14:paraId="4B82DFBF" w14:textId="77777777" w:rsidTr="00281B33">
            <w:trPr>
              <w:trHeight w:val="89"/>
            </w:trPr>
            <w:tc>
              <w:tcPr>
                <w:tcW w:w="8025" w:type="dxa"/>
                <w:tcMar>
                  <w:top w:w="216" w:type="dxa"/>
                  <w:left w:w="115" w:type="dxa"/>
                  <w:bottom w:w="216" w:type="dxa"/>
                  <w:right w:w="115" w:type="dxa"/>
                </w:tcMar>
              </w:tcPr>
              <w:p w14:paraId="0014B4A9" w14:textId="77777777" w:rsidR="009F57C4" w:rsidRDefault="009F57C4" w:rsidP="00281B33">
                <w:pPr>
                  <w:pStyle w:val="NoSpacing"/>
                  <w:rPr>
                    <w:rFonts w:cs="Arial"/>
                    <w:color w:val="002060"/>
                    <w:sz w:val="40"/>
                    <w:szCs w:val="40"/>
                  </w:rPr>
                </w:pPr>
              </w:p>
              <w:p w14:paraId="356377C2" w14:textId="77777777" w:rsidR="009F57C4" w:rsidRDefault="009F57C4" w:rsidP="00281B33">
                <w:pPr>
                  <w:pStyle w:val="NoSpacing"/>
                  <w:rPr>
                    <w:rFonts w:cs="Arial"/>
                    <w:color w:val="002060"/>
                    <w:sz w:val="40"/>
                    <w:szCs w:val="40"/>
                  </w:rPr>
                </w:pPr>
              </w:p>
              <w:p w14:paraId="43F62871" w14:textId="71F8EC68" w:rsidR="009F57C4" w:rsidRDefault="009F57C4" w:rsidP="00281B33">
                <w:pPr>
                  <w:pStyle w:val="NoSpacing"/>
                  <w:rPr>
                    <w:rFonts w:cs="Arial"/>
                    <w:color w:val="002060"/>
                    <w:sz w:val="40"/>
                    <w:szCs w:val="40"/>
                  </w:rPr>
                </w:pPr>
                <w:r>
                  <w:rPr>
                    <w:rFonts w:cs="Arial"/>
                    <w:color w:val="002060"/>
                    <w:sz w:val="40"/>
                    <w:szCs w:val="40"/>
                  </w:rPr>
                  <w:t xml:space="preserve">Last Updated: </w:t>
                </w:r>
                <w:r w:rsidR="00812035">
                  <w:rPr>
                    <w:rFonts w:cs="Arial"/>
                    <w:color w:val="002060"/>
                    <w:sz w:val="40"/>
                    <w:szCs w:val="40"/>
                  </w:rPr>
                  <w:t>20 March 2024</w:t>
                </w:r>
              </w:p>
              <w:p w14:paraId="557A4BCB" w14:textId="77777777" w:rsidR="009F57C4" w:rsidRDefault="009F57C4" w:rsidP="00281B33">
                <w:pPr>
                  <w:pStyle w:val="NoSpacing"/>
                  <w:rPr>
                    <w:rFonts w:cs="Arial"/>
                    <w:color w:val="002060"/>
                    <w:sz w:val="40"/>
                    <w:szCs w:val="40"/>
                  </w:rPr>
                </w:pPr>
              </w:p>
              <w:p w14:paraId="4FBA954B" w14:textId="77777777" w:rsidR="009F57C4" w:rsidRDefault="009F57C4" w:rsidP="00281B33">
                <w:pPr>
                  <w:pStyle w:val="NoSpacing"/>
                  <w:rPr>
                    <w:rFonts w:cs="Arial"/>
                    <w:color w:val="002060"/>
                    <w:sz w:val="40"/>
                    <w:szCs w:val="40"/>
                  </w:rPr>
                </w:pPr>
              </w:p>
              <w:p w14:paraId="43FE4353" w14:textId="77777777" w:rsidR="009F57C4" w:rsidRDefault="009F57C4" w:rsidP="00281B33">
                <w:pPr>
                  <w:pStyle w:val="NoSpacing"/>
                  <w:rPr>
                    <w:rFonts w:cs="Arial"/>
                    <w:color w:val="002060"/>
                    <w:sz w:val="40"/>
                    <w:szCs w:val="40"/>
                  </w:rPr>
                </w:pPr>
              </w:p>
              <w:p w14:paraId="0C69A245" w14:textId="77777777" w:rsidR="009F57C4" w:rsidRPr="00D61E62" w:rsidRDefault="009F57C4" w:rsidP="00281B33">
                <w:pPr>
                  <w:pStyle w:val="NoSpacing"/>
                  <w:rPr>
                    <w:rFonts w:cs="Arial"/>
                    <w:color w:val="002060"/>
                    <w:sz w:val="40"/>
                    <w:szCs w:val="40"/>
                  </w:rPr>
                </w:pPr>
                <w:r>
                  <w:rPr>
                    <w:rFonts w:cs="Arial"/>
                    <w:color w:val="002060"/>
                    <w:sz w:val="40"/>
                    <w:szCs w:val="40"/>
                  </w:rPr>
                  <w:t>Last Reviewed: 31 October 2014</w:t>
                </w:r>
              </w:p>
            </w:tc>
          </w:tr>
          <w:tr w:rsidR="009F57C4" w:rsidRPr="00D61E62" w14:paraId="6B6F2401" w14:textId="77777777" w:rsidTr="00281B33">
            <w:trPr>
              <w:trHeight w:val="89"/>
            </w:trPr>
            <w:tc>
              <w:tcPr>
                <w:tcW w:w="8025" w:type="dxa"/>
                <w:tcMar>
                  <w:top w:w="216" w:type="dxa"/>
                  <w:left w:w="115" w:type="dxa"/>
                  <w:bottom w:w="216" w:type="dxa"/>
                  <w:right w:w="115" w:type="dxa"/>
                </w:tcMar>
              </w:tcPr>
              <w:p w14:paraId="76CE8271" w14:textId="77777777" w:rsidR="009F57C4" w:rsidRPr="00D61E62" w:rsidRDefault="009F57C4" w:rsidP="00281B33">
                <w:pPr>
                  <w:pStyle w:val="NoSpacing"/>
                  <w:rPr>
                    <w:rFonts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9F57C4" w14:paraId="26D1D983" w14:textId="77777777" w:rsidTr="00281B33">
            <w:tc>
              <w:tcPr>
                <w:tcW w:w="6963" w:type="dxa"/>
                <w:tcMar>
                  <w:top w:w="216" w:type="dxa"/>
                  <w:left w:w="115" w:type="dxa"/>
                  <w:bottom w:w="216" w:type="dxa"/>
                  <w:right w:w="115" w:type="dxa"/>
                </w:tcMar>
              </w:tcPr>
              <w:p w14:paraId="21C53D6A" w14:textId="77777777" w:rsidR="009F57C4" w:rsidRDefault="009F57C4" w:rsidP="00281B33">
                <w:pPr>
                  <w:pStyle w:val="NoSpacing"/>
                  <w:rPr>
                    <w:color w:val="4472C4" w:themeColor="accent1"/>
                  </w:rPr>
                </w:pPr>
              </w:p>
            </w:tc>
          </w:tr>
        </w:tbl>
        <w:p w14:paraId="5B922D70" w14:textId="77777777" w:rsidR="009F57C4" w:rsidRDefault="009F57C4" w:rsidP="009F57C4">
          <w:pPr>
            <w:rPr>
              <w:rFonts w:eastAsia="Times New Roman" w:cs="Arial"/>
              <w:b/>
              <w:bCs/>
              <w:color w:val="000000"/>
              <w:kern w:val="36"/>
              <w:sz w:val="32"/>
              <w:szCs w:val="32"/>
              <w:lang w:eastAsia="en-GB"/>
            </w:rPr>
          </w:pPr>
          <w:r>
            <w:rPr>
              <w:rFonts w:eastAsia="Times New Roman" w:cs="Arial"/>
              <w:b/>
              <w:bCs/>
              <w:color w:val="000000"/>
              <w:kern w:val="36"/>
              <w:sz w:val="32"/>
              <w:szCs w:val="32"/>
              <w:lang w:eastAsia="en-GB"/>
            </w:rPr>
            <w:br w:type="page"/>
          </w:r>
        </w:p>
      </w:sdtContent>
    </w:sdt>
    <w:p w14:paraId="11E5FA08" w14:textId="69D808FB" w:rsidR="00812035" w:rsidRDefault="009F57C4" w:rsidP="009F57C4">
      <w:pPr>
        <w:rPr>
          <w:b/>
          <w:bCs/>
          <w:szCs w:val="28"/>
          <w:lang w:eastAsia="en-GB"/>
        </w:rPr>
      </w:pPr>
      <w:r w:rsidRPr="00343DAF">
        <w:rPr>
          <w:b/>
          <w:bCs/>
          <w:szCs w:val="28"/>
          <w:lang w:eastAsia="en-GB"/>
        </w:rPr>
        <w:lastRenderedPageBreak/>
        <w:t>OG515-2 The statutory power to pay for goods and/or services provided by a trustee</w:t>
      </w:r>
    </w:p>
    <w:p w14:paraId="5F1B802E" w14:textId="77777777" w:rsidR="00812035" w:rsidRDefault="00812035" w:rsidP="00812035">
      <w:pPr>
        <w:spacing w:before="100" w:beforeAutospacing="1" w:after="100" w:afterAutospacing="1"/>
        <w:ind w:left="706" w:hanging="706"/>
        <w:rPr>
          <w:rFonts w:cs="Arial"/>
          <w:color w:val="000000"/>
          <w:szCs w:val="28"/>
          <w:highlight w:val="yellow"/>
          <w:lang w:eastAsia="en-GB"/>
        </w:rPr>
      </w:pPr>
      <w:bookmarkStart w:id="0" w:name="_Hlk160628572"/>
      <w:r>
        <w:rPr>
          <w:color w:val="000000"/>
          <w:highlight w:val="yellow"/>
          <w:lang w:eastAsia="en-GB"/>
        </w:rPr>
        <w:t>WARNING</w:t>
      </w:r>
    </w:p>
    <w:p w14:paraId="3D11601E" w14:textId="77777777" w:rsidR="00812035" w:rsidRDefault="00812035" w:rsidP="00812035">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5EA13EF4" w14:textId="77777777" w:rsidR="00812035" w:rsidRDefault="00812035" w:rsidP="00812035">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332F6FA6" w14:textId="339E05A8" w:rsidR="00812035" w:rsidRDefault="00812035" w:rsidP="00812035">
      <w:pPr>
        <w:rPr>
          <w:color w:val="000000"/>
          <w:lang w:eastAsia="en-GB"/>
        </w:rPr>
      </w:pPr>
      <w:r>
        <w:rPr>
          <w:color w:val="000000"/>
          <w:highlight w:val="yellow"/>
          <w:lang w:eastAsia="en-GB"/>
        </w:rPr>
        <w:t>From 14 June 2023, the Charities Act 2022 made changes to charity land, permanent endowment (both expenditure of and borrowing from) and charity names.</w:t>
      </w:r>
      <w:bookmarkEnd w:id="0"/>
    </w:p>
    <w:p w14:paraId="504BC30A" w14:textId="77777777" w:rsidR="00812035" w:rsidRDefault="00812035">
      <w:pPr>
        <w:rPr>
          <w:color w:val="000000"/>
          <w:lang w:eastAsia="en-GB"/>
        </w:rPr>
      </w:pPr>
      <w:r>
        <w:rPr>
          <w:color w:val="000000"/>
          <w:lang w:eastAsia="en-GB"/>
        </w:rPr>
        <w:br w:type="page"/>
      </w:r>
    </w:p>
    <w:sdt>
      <w:sdtPr>
        <w:rPr>
          <w:sz w:val="24"/>
        </w:rPr>
        <w:id w:val="432248737"/>
        <w:docPartObj>
          <w:docPartGallery w:val="Table of Contents"/>
          <w:docPartUnique/>
        </w:docPartObj>
      </w:sdtPr>
      <w:sdtEndPr>
        <w:rPr>
          <w:b/>
          <w:bCs/>
          <w:noProof/>
          <w:sz w:val="28"/>
        </w:rPr>
      </w:sdtEndPr>
      <w:sdtContent>
        <w:p w14:paraId="3EB5BE4D" w14:textId="77777777" w:rsidR="009F57C4" w:rsidRPr="00812035" w:rsidRDefault="009F57C4" w:rsidP="009F57C4">
          <w:pPr>
            <w:keepNext/>
            <w:keepLines/>
            <w:spacing w:before="240" w:after="0"/>
            <w:rPr>
              <w:rFonts w:eastAsiaTheme="majorEastAsia" w:cs="Arial"/>
              <w:color w:val="000000" w:themeColor="text1"/>
              <w:sz w:val="32"/>
              <w:szCs w:val="32"/>
              <w:lang w:val="en-US"/>
            </w:rPr>
          </w:pPr>
          <w:r w:rsidRPr="00812035">
            <w:rPr>
              <w:rFonts w:eastAsiaTheme="majorEastAsia" w:cs="Arial"/>
              <w:color w:val="000000" w:themeColor="text1"/>
              <w:sz w:val="32"/>
              <w:szCs w:val="32"/>
              <w:lang w:val="en-US"/>
            </w:rPr>
            <w:t>Contents</w:t>
          </w:r>
        </w:p>
        <w:p w14:paraId="7A8204CB" w14:textId="30B5E6ED" w:rsidR="00812035" w:rsidRPr="00812035" w:rsidRDefault="009F57C4">
          <w:pPr>
            <w:pStyle w:val="TOC1"/>
            <w:tabs>
              <w:tab w:val="right" w:leader="dot" w:pos="9016"/>
            </w:tabs>
            <w:rPr>
              <w:noProof/>
            </w:rPr>
          </w:pPr>
          <w:r w:rsidRPr="00812035">
            <w:fldChar w:fldCharType="begin"/>
          </w:r>
          <w:r w:rsidRPr="00812035">
            <w:instrText xml:space="preserve"> TOC \o "1-3" \h \z \u </w:instrText>
          </w:r>
          <w:r w:rsidRPr="00812035">
            <w:fldChar w:fldCharType="separate"/>
          </w:r>
          <w:hyperlink w:anchor="_Toc161843703" w:history="1">
            <w:r w:rsidR="00812035" w:rsidRPr="00812035">
              <w:rPr>
                <w:rStyle w:val="Hyperlink"/>
                <w:rFonts w:eastAsia="Times New Roman" w:cs="Arial"/>
                <w:noProof/>
                <w:kern w:val="36"/>
                <w:lang w:eastAsia="en-GB"/>
              </w:rPr>
              <w:t>Policy Statement/Overview</w:t>
            </w:r>
            <w:r w:rsidR="00812035" w:rsidRPr="00812035">
              <w:rPr>
                <w:noProof/>
                <w:webHidden/>
              </w:rPr>
              <w:tab/>
            </w:r>
            <w:r w:rsidR="00812035" w:rsidRPr="00812035">
              <w:rPr>
                <w:noProof/>
                <w:webHidden/>
              </w:rPr>
              <w:fldChar w:fldCharType="begin"/>
            </w:r>
            <w:r w:rsidR="00812035" w:rsidRPr="00812035">
              <w:rPr>
                <w:noProof/>
                <w:webHidden/>
              </w:rPr>
              <w:instrText xml:space="preserve"> PAGEREF _Toc161843703 \h </w:instrText>
            </w:r>
            <w:r w:rsidR="00812035" w:rsidRPr="00812035">
              <w:rPr>
                <w:noProof/>
                <w:webHidden/>
              </w:rPr>
            </w:r>
            <w:r w:rsidR="00812035" w:rsidRPr="00812035">
              <w:rPr>
                <w:noProof/>
                <w:webHidden/>
              </w:rPr>
              <w:fldChar w:fldCharType="separate"/>
            </w:r>
            <w:r w:rsidR="00812035" w:rsidRPr="00812035">
              <w:rPr>
                <w:noProof/>
                <w:webHidden/>
              </w:rPr>
              <w:t>3</w:t>
            </w:r>
            <w:r w:rsidR="00812035" w:rsidRPr="00812035">
              <w:rPr>
                <w:noProof/>
                <w:webHidden/>
              </w:rPr>
              <w:fldChar w:fldCharType="end"/>
            </w:r>
          </w:hyperlink>
        </w:p>
        <w:p w14:paraId="68FEE2B8" w14:textId="4BF270BD" w:rsidR="00812035" w:rsidRPr="00812035" w:rsidRDefault="00812035">
          <w:pPr>
            <w:pStyle w:val="TOC3"/>
            <w:tabs>
              <w:tab w:val="right" w:leader="dot" w:pos="9016"/>
            </w:tabs>
            <w:rPr>
              <w:noProof/>
            </w:rPr>
          </w:pPr>
          <w:hyperlink w:anchor="_Toc161843704" w:history="1">
            <w:r w:rsidRPr="00812035">
              <w:rPr>
                <w:rStyle w:val="Hyperlink"/>
                <w:rFonts w:eastAsia="Times New Roman" w:cstheme="majorBidi"/>
                <w:noProof/>
                <w:lang w:eastAsia="en-GB"/>
              </w:rPr>
              <w:t>Introduction</w:t>
            </w:r>
            <w:r w:rsidRPr="00812035">
              <w:rPr>
                <w:noProof/>
                <w:webHidden/>
              </w:rPr>
              <w:tab/>
            </w:r>
            <w:r w:rsidRPr="00812035">
              <w:rPr>
                <w:noProof/>
                <w:webHidden/>
              </w:rPr>
              <w:fldChar w:fldCharType="begin"/>
            </w:r>
            <w:r w:rsidRPr="00812035">
              <w:rPr>
                <w:noProof/>
                <w:webHidden/>
              </w:rPr>
              <w:instrText xml:space="preserve"> PAGEREF _Toc161843704 \h </w:instrText>
            </w:r>
            <w:r w:rsidRPr="00812035">
              <w:rPr>
                <w:noProof/>
                <w:webHidden/>
              </w:rPr>
            </w:r>
            <w:r w:rsidRPr="00812035">
              <w:rPr>
                <w:noProof/>
                <w:webHidden/>
              </w:rPr>
              <w:fldChar w:fldCharType="separate"/>
            </w:r>
            <w:r w:rsidRPr="00812035">
              <w:rPr>
                <w:noProof/>
                <w:webHidden/>
              </w:rPr>
              <w:t>4</w:t>
            </w:r>
            <w:r w:rsidRPr="00812035">
              <w:rPr>
                <w:noProof/>
                <w:webHidden/>
              </w:rPr>
              <w:fldChar w:fldCharType="end"/>
            </w:r>
          </w:hyperlink>
        </w:p>
        <w:p w14:paraId="154C9A2B" w14:textId="5A06AE84" w:rsidR="00812035" w:rsidRPr="00812035" w:rsidRDefault="00812035">
          <w:pPr>
            <w:pStyle w:val="TOC1"/>
            <w:tabs>
              <w:tab w:val="right" w:leader="dot" w:pos="9016"/>
            </w:tabs>
            <w:rPr>
              <w:noProof/>
            </w:rPr>
          </w:pPr>
          <w:hyperlink w:anchor="_Toc161843705" w:history="1">
            <w:r w:rsidRPr="00812035">
              <w:rPr>
                <w:rStyle w:val="Hyperlink"/>
                <w:rFonts w:eastAsia="Times New Roman" w:cs="Arial"/>
                <w:noProof/>
                <w:kern w:val="36"/>
                <w:lang w:eastAsia="en-GB"/>
              </w:rPr>
              <w:t>Summary of the guidance</w:t>
            </w:r>
            <w:r w:rsidRPr="00812035">
              <w:rPr>
                <w:noProof/>
                <w:webHidden/>
              </w:rPr>
              <w:tab/>
            </w:r>
            <w:r w:rsidRPr="00812035">
              <w:rPr>
                <w:noProof/>
                <w:webHidden/>
              </w:rPr>
              <w:fldChar w:fldCharType="begin"/>
            </w:r>
            <w:r w:rsidRPr="00812035">
              <w:rPr>
                <w:noProof/>
                <w:webHidden/>
              </w:rPr>
              <w:instrText xml:space="preserve"> PAGEREF _Toc161843705 \h </w:instrText>
            </w:r>
            <w:r w:rsidRPr="00812035">
              <w:rPr>
                <w:noProof/>
                <w:webHidden/>
              </w:rPr>
            </w:r>
            <w:r w:rsidRPr="00812035">
              <w:rPr>
                <w:noProof/>
                <w:webHidden/>
              </w:rPr>
              <w:fldChar w:fldCharType="separate"/>
            </w:r>
            <w:r w:rsidRPr="00812035">
              <w:rPr>
                <w:noProof/>
                <w:webHidden/>
              </w:rPr>
              <w:t>5</w:t>
            </w:r>
            <w:r w:rsidRPr="00812035">
              <w:rPr>
                <w:noProof/>
                <w:webHidden/>
              </w:rPr>
              <w:fldChar w:fldCharType="end"/>
            </w:r>
          </w:hyperlink>
        </w:p>
        <w:p w14:paraId="36C3179F" w14:textId="7C3042EC" w:rsidR="00812035" w:rsidRPr="00812035" w:rsidRDefault="00812035">
          <w:pPr>
            <w:pStyle w:val="TOC1"/>
            <w:tabs>
              <w:tab w:val="right" w:leader="dot" w:pos="9016"/>
            </w:tabs>
            <w:rPr>
              <w:noProof/>
            </w:rPr>
          </w:pPr>
          <w:hyperlink w:anchor="_Toc161843706" w:history="1">
            <w:r w:rsidRPr="00812035">
              <w:rPr>
                <w:rStyle w:val="Hyperlink"/>
                <w:rFonts w:eastAsia="Times New Roman" w:cs="Arial"/>
                <w:noProof/>
                <w:kern w:val="36"/>
                <w:lang w:eastAsia="en-GB"/>
              </w:rPr>
              <w:t>Casework Guidance</w:t>
            </w:r>
            <w:r w:rsidRPr="00812035">
              <w:rPr>
                <w:noProof/>
                <w:webHidden/>
              </w:rPr>
              <w:tab/>
            </w:r>
            <w:r w:rsidRPr="00812035">
              <w:rPr>
                <w:noProof/>
                <w:webHidden/>
              </w:rPr>
              <w:fldChar w:fldCharType="begin"/>
            </w:r>
            <w:r w:rsidRPr="00812035">
              <w:rPr>
                <w:noProof/>
                <w:webHidden/>
              </w:rPr>
              <w:instrText xml:space="preserve"> PAGEREF _Toc161843706 \h </w:instrText>
            </w:r>
            <w:r w:rsidRPr="00812035">
              <w:rPr>
                <w:noProof/>
                <w:webHidden/>
              </w:rPr>
            </w:r>
            <w:r w:rsidRPr="00812035">
              <w:rPr>
                <w:noProof/>
                <w:webHidden/>
              </w:rPr>
              <w:fldChar w:fldCharType="separate"/>
            </w:r>
            <w:r w:rsidRPr="00812035">
              <w:rPr>
                <w:noProof/>
                <w:webHidden/>
              </w:rPr>
              <w:t>5</w:t>
            </w:r>
            <w:r w:rsidRPr="00812035">
              <w:rPr>
                <w:noProof/>
                <w:webHidden/>
              </w:rPr>
              <w:fldChar w:fldCharType="end"/>
            </w:r>
          </w:hyperlink>
        </w:p>
        <w:p w14:paraId="756E0AD8" w14:textId="4646E64A" w:rsidR="00812035" w:rsidRPr="00812035" w:rsidRDefault="00812035">
          <w:pPr>
            <w:pStyle w:val="TOC3"/>
            <w:tabs>
              <w:tab w:val="right" w:leader="dot" w:pos="9016"/>
            </w:tabs>
            <w:rPr>
              <w:noProof/>
            </w:rPr>
          </w:pPr>
          <w:hyperlink w:anchor="_Toc161843707" w:history="1">
            <w:r w:rsidRPr="00812035">
              <w:rPr>
                <w:rStyle w:val="Hyperlink"/>
                <w:rFonts w:eastAsia="Times New Roman" w:cstheme="majorBidi"/>
                <w:noProof/>
                <w:lang w:eastAsia="en-GB"/>
              </w:rPr>
              <w:t>B1. What to do where we are asked to advise regarding the statutory power</w:t>
            </w:r>
            <w:r w:rsidRPr="00812035">
              <w:rPr>
                <w:noProof/>
                <w:webHidden/>
              </w:rPr>
              <w:tab/>
            </w:r>
            <w:r w:rsidRPr="00812035">
              <w:rPr>
                <w:noProof/>
                <w:webHidden/>
              </w:rPr>
              <w:fldChar w:fldCharType="begin"/>
            </w:r>
            <w:r w:rsidRPr="00812035">
              <w:rPr>
                <w:noProof/>
                <w:webHidden/>
              </w:rPr>
              <w:instrText xml:space="preserve"> PAGEREF _Toc161843707 \h </w:instrText>
            </w:r>
            <w:r w:rsidRPr="00812035">
              <w:rPr>
                <w:noProof/>
                <w:webHidden/>
              </w:rPr>
            </w:r>
            <w:r w:rsidRPr="00812035">
              <w:rPr>
                <w:noProof/>
                <w:webHidden/>
              </w:rPr>
              <w:fldChar w:fldCharType="separate"/>
            </w:r>
            <w:r w:rsidRPr="00812035">
              <w:rPr>
                <w:noProof/>
                <w:webHidden/>
              </w:rPr>
              <w:t>5</w:t>
            </w:r>
            <w:r w:rsidRPr="00812035">
              <w:rPr>
                <w:noProof/>
                <w:webHidden/>
              </w:rPr>
              <w:fldChar w:fldCharType="end"/>
            </w:r>
          </w:hyperlink>
        </w:p>
        <w:p w14:paraId="19A309BD" w14:textId="1933DB4A" w:rsidR="00812035" w:rsidRPr="00812035" w:rsidRDefault="00812035">
          <w:pPr>
            <w:pStyle w:val="TOC3"/>
            <w:tabs>
              <w:tab w:val="right" w:leader="dot" w:pos="9016"/>
            </w:tabs>
            <w:rPr>
              <w:noProof/>
            </w:rPr>
          </w:pPr>
          <w:hyperlink w:anchor="_Toc161843708" w:history="1">
            <w:r w:rsidRPr="00812035">
              <w:rPr>
                <w:rStyle w:val="Hyperlink"/>
                <w:rFonts w:eastAsia="Times New Roman" w:cstheme="majorBidi"/>
                <w:noProof/>
                <w:lang w:eastAsia="en-GB"/>
              </w:rPr>
              <w:t>B2 What if the payment cannot be made using the statutory power?</w:t>
            </w:r>
            <w:r w:rsidRPr="00812035">
              <w:rPr>
                <w:noProof/>
                <w:webHidden/>
              </w:rPr>
              <w:tab/>
            </w:r>
            <w:r w:rsidRPr="00812035">
              <w:rPr>
                <w:noProof/>
                <w:webHidden/>
              </w:rPr>
              <w:fldChar w:fldCharType="begin"/>
            </w:r>
            <w:r w:rsidRPr="00812035">
              <w:rPr>
                <w:noProof/>
                <w:webHidden/>
              </w:rPr>
              <w:instrText xml:space="preserve"> PAGEREF _Toc161843708 \h </w:instrText>
            </w:r>
            <w:r w:rsidRPr="00812035">
              <w:rPr>
                <w:noProof/>
                <w:webHidden/>
              </w:rPr>
            </w:r>
            <w:r w:rsidRPr="00812035">
              <w:rPr>
                <w:noProof/>
                <w:webHidden/>
              </w:rPr>
              <w:fldChar w:fldCharType="separate"/>
            </w:r>
            <w:r w:rsidRPr="00812035">
              <w:rPr>
                <w:noProof/>
                <w:webHidden/>
              </w:rPr>
              <w:t>6</w:t>
            </w:r>
            <w:r w:rsidRPr="00812035">
              <w:rPr>
                <w:noProof/>
                <w:webHidden/>
              </w:rPr>
              <w:fldChar w:fldCharType="end"/>
            </w:r>
          </w:hyperlink>
        </w:p>
        <w:p w14:paraId="1EB96883" w14:textId="07CBA7EF" w:rsidR="00812035" w:rsidRPr="00812035" w:rsidRDefault="00812035">
          <w:pPr>
            <w:pStyle w:val="TOC3"/>
            <w:tabs>
              <w:tab w:val="right" w:leader="dot" w:pos="9016"/>
            </w:tabs>
            <w:rPr>
              <w:noProof/>
            </w:rPr>
          </w:pPr>
          <w:hyperlink w:anchor="_Toc161843709" w:history="1">
            <w:r w:rsidRPr="00812035">
              <w:rPr>
                <w:rStyle w:val="Hyperlink"/>
                <w:rFonts w:eastAsia="Times New Roman" w:cstheme="majorBidi"/>
                <w:noProof/>
                <w:lang w:eastAsia="en-GB"/>
              </w:rPr>
              <w:t>B3 What should we do if the statutory power is misused?</w:t>
            </w:r>
            <w:r w:rsidRPr="00812035">
              <w:rPr>
                <w:noProof/>
                <w:webHidden/>
              </w:rPr>
              <w:tab/>
            </w:r>
            <w:r w:rsidRPr="00812035">
              <w:rPr>
                <w:noProof/>
                <w:webHidden/>
              </w:rPr>
              <w:fldChar w:fldCharType="begin"/>
            </w:r>
            <w:r w:rsidRPr="00812035">
              <w:rPr>
                <w:noProof/>
                <w:webHidden/>
              </w:rPr>
              <w:instrText xml:space="preserve"> PAGEREF _Toc161843709 \h </w:instrText>
            </w:r>
            <w:r w:rsidRPr="00812035">
              <w:rPr>
                <w:noProof/>
                <w:webHidden/>
              </w:rPr>
            </w:r>
            <w:r w:rsidRPr="00812035">
              <w:rPr>
                <w:noProof/>
                <w:webHidden/>
              </w:rPr>
              <w:fldChar w:fldCharType="separate"/>
            </w:r>
            <w:r w:rsidRPr="00812035">
              <w:rPr>
                <w:noProof/>
                <w:webHidden/>
              </w:rPr>
              <w:t>6</w:t>
            </w:r>
            <w:r w:rsidRPr="00812035">
              <w:rPr>
                <w:noProof/>
                <w:webHidden/>
              </w:rPr>
              <w:fldChar w:fldCharType="end"/>
            </w:r>
          </w:hyperlink>
        </w:p>
        <w:p w14:paraId="49EB1CB1" w14:textId="0FF012AC" w:rsidR="00812035" w:rsidRPr="00812035" w:rsidRDefault="00812035">
          <w:pPr>
            <w:pStyle w:val="TOC1"/>
            <w:tabs>
              <w:tab w:val="right" w:leader="dot" w:pos="9016"/>
            </w:tabs>
            <w:rPr>
              <w:noProof/>
            </w:rPr>
          </w:pPr>
          <w:hyperlink w:anchor="_Toc161843710" w:history="1">
            <w:r w:rsidRPr="00812035">
              <w:rPr>
                <w:rStyle w:val="Hyperlink"/>
                <w:rFonts w:eastAsia="Times New Roman" w:cs="Arial"/>
                <w:noProof/>
                <w:kern w:val="36"/>
                <w:lang w:eastAsia="en-GB"/>
              </w:rPr>
              <w:t>Legal/Policy Framework</w:t>
            </w:r>
            <w:r w:rsidRPr="00812035">
              <w:rPr>
                <w:noProof/>
                <w:webHidden/>
              </w:rPr>
              <w:tab/>
            </w:r>
            <w:r w:rsidRPr="00812035">
              <w:rPr>
                <w:noProof/>
                <w:webHidden/>
              </w:rPr>
              <w:fldChar w:fldCharType="begin"/>
            </w:r>
            <w:r w:rsidRPr="00812035">
              <w:rPr>
                <w:noProof/>
                <w:webHidden/>
              </w:rPr>
              <w:instrText xml:space="preserve"> PAGEREF _Toc161843710 \h </w:instrText>
            </w:r>
            <w:r w:rsidRPr="00812035">
              <w:rPr>
                <w:noProof/>
                <w:webHidden/>
              </w:rPr>
            </w:r>
            <w:r w:rsidRPr="00812035">
              <w:rPr>
                <w:noProof/>
                <w:webHidden/>
              </w:rPr>
              <w:fldChar w:fldCharType="separate"/>
            </w:r>
            <w:r w:rsidRPr="00812035">
              <w:rPr>
                <w:noProof/>
                <w:webHidden/>
              </w:rPr>
              <w:t>6</w:t>
            </w:r>
            <w:r w:rsidRPr="00812035">
              <w:rPr>
                <w:noProof/>
                <w:webHidden/>
              </w:rPr>
              <w:fldChar w:fldCharType="end"/>
            </w:r>
          </w:hyperlink>
        </w:p>
        <w:p w14:paraId="5BB8877E" w14:textId="209C68B5" w:rsidR="00812035" w:rsidRPr="00812035" w:rsidRDefault="00812035">
          <w:pPr>
            <w:pStyle w:val="TOC2"/>
            <w:tabs>
              <w:tab w:val="right" w:leader="dot" w:pos="9016"/>
            </w:tabs>
            <w:rPr>
              <w:noProof/>
            </w:rPr>
          </w:pPr>
          <w:hyperlink w:anchor="_Toc161843711" w:history="1">
            <w:r w:rsidRPr="00812035">
              <w:rPr>
                <w:rStyle w:val="Hyperlink"/>
                <w:rFonts w:eastAsia="Times New Roman" w:cs="Arial"/>
                <w:noProof/>
                <w:lang w:eastAsia="en-GB"/>
              </w:rPr>
              <w:t>Legal background</w:t>
            </w:r>
            <w:r w:rsidRPr="00812035">
              <w:rPr>
                <w:noProof/>
                <w:webHidden/>
              </w:rPr>
              <w:tab/>
            </w:r>
            <w:r w:rsidRPr="00812035">
              <w:rPr>
                <w:noProof/>
                <w:webHidden/>
              </w:rPr>
              <w:fldChar w:fldCharType="begin"/>
            </w:r>
            <w:r w:rsidRPr="00812035">
              <w:rPr>
                <w:noProof/>
                <w:webHidden/>
              </w:rPr>
              <w:instrText xml:space="preserve"> PAGEREF _Toc161843711 \h </w:instrText>
            </w:r>
            <w:r w:rsidRPr="00812035">
              <w:rPr>
                <w:noProof/>
                <w:webHidden/>
              </w:rPr>
            </w:r>
            <w:r w:rsidRPr="00812035">
              <w:rPr>
                <w:noProof/>
                <w:webHidden/>
              </w:rPr>
              <w:fldChar w:fldCharType="separate"/>
            </w:r>
            <w:r w:rsidRPr="00812035">
              <w:rPr>
                <w:noProof/>
                <w:webHidden/>
              </w:rPr>
              <w:t>6</w:t>
            </w:r>
            <w:r w:rsidRPr="00812035">
              <w:rPr>
                <w:noProof/>
                <w:webHidden/>
              </w:rPr>
              <w:fldChar w:fldCharType="end"/>
            </w:r>
          </w:hyperlink>
        </w:p>
        <w:p w14:paraId="5132DAC4" w14:textId="5346F884" w:rsidR="00812035" w:rsidRPr="00812035" w:rsidRDefault="00812035">
          <w:pPr>
            <w:pStyle w:val="TOC3"/>
            <w:tabs>
              <w:tab w:val="right" w:leader="dot" w:pos="9016"/>
            </w:tabs>
            <w:rPr>
              <w:noProof/>
            </w:rPr>
          </w:pPr>
          <w:hyperlink w:anchor="_Toc161843712" w:history="1">
            <w:r w:rsidRPr="00812035">
              <w:rPr>
                <w:rStyle w:val="Hyperlink"/>
                <w:rFonts w:eastAsia="Times New Roman" w:cstheme="majorBidi"/>
                <w:noProof/>
                <w:lang w:eastAsia="en-GB"/>
              </w:rPr>
              <w:t>Section 185 of the Charities Act</w:t>
            </w:r>
            <w:r w:rsidRPr="00812035">
              <w:rPr>
                <w:noProof/>
                <w:webHidden/>
              </w:rPr>
              <w:tab/>
            </w:r>
            <w:r w:rsidRPr="00812035">
              <w:rPr>
                <w:noProof/>
                <w:webHidden/>
              </w:rPr>
              <w:fldChar w:fldCharType="begin"/>
            </w:r>
            <w:r w:rsidRPr="00812035">
              <w:rPr>
                <w:noProof/>
                <w:webHidden/>
              </w:rPr>
              <w:instrText xml:space="preserve"> PAGEREF _Toc161843712 \h </w:instrText>
            </w:r>
            <w:r w:rsidRPr="00812035">
              <w:rPr>
                <w:noProof/>
                <w:webHidden/>
              </w:rPr>
            </w:r>
            <w:r w:rsidRPr="00812035">
              <w:rPr>
                <w:noProof/>
                <w:webHidden/>
              </w:rPr>
              <w:fldChar w:fldCharType="separate"/>
            </w:r>
            <w:r w:rsidRPr="00812035">
              <w:rPr>
                <w:noProof/>
                <w:webHidden/>
              </w:rPr>
              <w:t>6</w:t>
            </w:r>
            <w:r w:rsidRPr="00812035">
              <w:rPr>
                <w:noProof/>
                <w:webHidden/>
              </w:rPr>
              <w:fldChar w:fldCharType="end"/>
            </w:r>
          </w:hyperlink>
        </w:p>
        <w:p w14:paraId="26FF83EC" w14:textId="67904FC5" w:rsidR="00812035" w:rsidRPr="00812035" w:rsidRDefault="00812035">
          <w:pPr>
            <w:pStyle w:val="TOC3"/>
            <w:tabs>
              <w:tab w:val="right" w:leader="dot" w:pos="9016"/>
            </w:tabs>
            <w:rPr>
              <w:noProof/>
            </w:rPr>
          </w:pPr>
          <w:hyperlink w:anchor="_Toc161843713" w:history="1">
            <w:r w:rsidRPr="00812035">
              <w:rPr>
                <w:rStyle w:val="Hyperlink"/>
                <w:rFonts w:eastAsia="Times New Roman" w:cstheme="majorBidi"/>
                <w:noProof/>
                <w:lang w:eastAsia="en-GB"/>
              </w:rPr>
              <w:t>Section 186 of the Charities Act</w:t>
            </w:r>
            <w:r w:rsidRPr="00812035">
              <w:rPr>
                <w:noProof/>
                <w:webHidden/>
              </w:rPr>
              <w:tab/>
            </w:r>
            <w:r w:rsidRPr="00812035">
              <w:rPr>
                <w:noProof/>
                <w:webHidden/>
              </w:rPr>
              <w:fldChar w:fldCharType="begin"/>
            </w:r>
            <w:r w:rsidRPr="00812035">
              <w:rPr>
                <w:noProof/>
                <w:webHidden/>
              </w:rPr>
              <w:instrText xml:space="preserve"> PAGEREF _Toc161843713 \h </w:instrText>
            </w:r>
            <w:r w:rsidRPr="00812035">
              <w:rPr>
                <w:noProof/>
                <w:webHidden/>
              </w:rPr>
            </w:r>
            <w:r w:rsidRPr="00812035">
              <w:rPr>
                <w:noProof/>
                <w:webHidden/>
              </w:rPr>
              <w:fldChar w:fldCharType="separate"/>
            </w:r>
            <w:r w:rsidRPr="00812035">
              <w:rPr>
                <w:noProof/>
                <w:webHidden/>
              </w:rPr>
              <w:t>7</w:t>
            </w:r>
            <w:r w:rsidRPr="00812035">
              <w:rPr>
                <w:noProof/>
                <w:webHidden/>
              </w:rPr>
              <w:fldChar w:fldCharType="end"/>
            </w:r>
          </w:hyperlink>
        </w:p>
        <w:p w14:paraId="3374ABBC" w14:textId="7D0A4D13" w:rsidR="00812035" w:rsidRPr="00812035" w:rsidRDefault="00812035">
          <w:pPr>
            <w:pStyle w:val="TOC3"/>
            <w:tabs>
              <w:tab w:val="right" w:leader="dot" w:pos="9016"/>
            </w:tabs>
            <w:rPr>
              <w:noProof/>
            </w:rPr>
          </w:pPr>
          <w:hyperlink w:anchor="_Toc161843714" w:history="1">
            <w:r w:rsidRPr="00812035">
              <w:rPr>
                <w:rStyle w:val="Hyperlink"/>
                <w:rFonts w:eastAsia="Times New Roman" w:cstheme="majorBidi"/>
                <w:noProof/>
                <w:lang w:eastAsia="en-GB"/>
              </w:rPr>
              <w:t>Sections 187 &amp; 188 of the Charities Act</w:t>
            </w:r>
            <w:r w:rsidRPr="00812035">
              <w:rPr>
                <w:noProof/>
                <w:webHidden/>
              </w:rPr>
              <w:tab/>
            </w:r>
            <w:r w:rsidRPr="00812035">
              <w:rPr>
                <w:noProof/>
                <w:webHidden/>
              </w:rPr>
              <w:fldChar w:fldCharType="begin"/>
            </w:r>
            <w:r w:rsidRPr="00812035">
              <w:rPr>
                <w:noProof/>
                <w:webHidden/>
              </w:rPr>
              <w:instrText xml:space="preserve"> PAGEREF _Toc161843714 \h </w:instrText>
            </w:r>
            <w:r w:rsidRPr="00812035">
              <w:rPr>
                <w:noProof/>
                <w:webHidden/>
              </w:rPr>
            </w:r>
            <w:r w:rsidRPr="00812035">
              <w:rPr>
                <w:noProof/>
                <w:webHidden/>
              </w:rPr>
              <w:fldChar w:fldCharType="separate"/>
            </w:r>
            <w:r w:rsidRPr="00812035">
              <w:rPr>
                <w:noProof/>
                <w:webHidden/>
              </w:rPr>
              <w:t>8</w:t>
            </w:r>
            <w:r w:rsidRPr="00812035">
              <w:rPr>
                <w:noProof/>
                <w:webHidden/>
              </w:rPr>
              <w:fldChar w:fldCharType="end"/>
            </w:r>
          </w:hyperlink>
        </w:p>
        <w:p w14:paraId="1DED0B37" w14:textId="08018C6D" w:rsidR="00812035" w:rsidRPr="00812035" w:rsidRDefault="00812035">
          <w:pPr>
            <w:pStyle w:val="TOC1"/>
            <w:tabs>
              <w:tab w:val="right" w:leader="dot" w:pos="9016"/>
            </w:tabs>
            <w:rPr>
              <w:noProof/>
            </w:rPr>
          </w:pPr>
          <w:hyperlink w:anchor="_Toc161843715" w:history="1">
            <w:r w:rsidRPr="00812035">
              <w:rPr>
                <w:rStyle w:val="Hyperlink"/>
                <w:rFonts w:eastAsia="Times New Roman" w:cs="Arial"/>
                <w:noProof/>
                <w:kern w:val="36"/>
                <w:lang w:eastAsia="en-GB"/>
              </w:rPr>
              <w:t>Q&amp;As</w:t>
            </w:r>
            <w:r w:rsidRPr="00812035">
              <w:rPr>
                <w:noProof/>
                <w:webHidden/>
              </w:rPr>
              <w:tab/>
            </w:r>
            <w:r w:rsidRPr="00812035">
              <w:rPr>
                <w:noProof/>
                <w:webHidden/>
              </w:rPr>
              <w:fldChar w:fldCharType="begin"/>
            </w:r>
            <w:r w:rsidRPr="00812035">
              <w:rPr>
                <w:noProof/>
                <w:webHidden/>
              </w:rPr>
              <w:instrText xml:space="preserve"> PAGEREF _Toc161843715 \h </w:instrText>
            </w:r>
            <w:r w:rsidRPr="00812035">
              <w:rPr>
                <w:noProof/>
                <w:webHidden/>
              </w:rPr>
            </w:r>
            <w:r w:rsidRPr="00812035">
              <w:rPr>
                <w:noProof/>
                <w:webHidden/>
              </w:rPr>
              <w:fldChar w:fldCharType="separate"/>
            </w:r>
            <w:r w:rsidRPr="00812035">
              <w:rPr>
                <w:noProof/>
                <w:webHidden/>
              </w:rPr>
              <w:t>8</w:t>
            </w:r>
            <w:r w:rsidRPr="00812035">
              <w:rPr>
                <w:noProof/>
                <w:webHidden/>
              </w:rPr>
              <w:fldChar w:fldCharType="end"/>
            </w:r>
          </w:hyperlink>
        </w:p>
        <w:p w14:paraId="29D3EE23" w14:textId="47765AD3" w:rsidR="00812035" w:rsidRPr="00812035" w:rsidRDefault="00812035">
          <w:pPr>
            <w:pStyle w:val="TOC3"/>
            <w:tabs>
              <w:tab w:val="right" w:leader="dot" w:pos="9016"/>
            </w:tabs>
            <w:rPr>
              <w:noProof/>
            </w:rPr>
          </w:pPr>
          <w:hyperlink w:anchor="_Toc161843716" w:history="1">
            <w:r w:rsidRPr="00812035">
              <w:rPr>
                <w:rStyle w:val="Hyperlink"/>
                <w:rFonts w:eastAsia="Times New Roman" w:cstheme="majorBidi"/>
                <w:noProof/>
                <w:lang w:eastAsia="en-GB"/>
              </w:rPr>
              <w:t>F1. Does the power to pay trustees for the provision of goods and/or services to a charity apply to all types of charity, irrespective of how they are constituted?</w:t>
            </w:r>
            <w:r w:rsidRPr="00812035">
              <w:rPr>
                <w:noProof/>
                <w:webHidden/>
              </w:rPr>
              <w:tab/>
            </w:r>
            <w:r w:rsidRPr="00812035">
              <w:rPr>
                <w:noProof/>
                <w:webHidden/>
              </w:rPr>
              <w:fldChar w:fldCharType="begin"/>
            </w:r>
            <w:r w:rsidRPr="00812035">
              <w:rPr>
                <w:noProof/>
                <w:webHidden/>
              </w:rPr>
              <w:instrText xml:space="preserve"> PAGEREF _Toc161843716 \h </w:instrText>
            </w:r>
            <w:r w:rsidRPr="00812035">
              <w:rPr>
                <w:noProof/>
                <w:webHidden/>
              </w:rPr>
            </w:r>
            <w:r w:rsidRPr="00812035">
              <w:rPr>
                <w:noProof/>
                <w:webHidden/>
              </w:rPr>
              <w:fldChar w:fldCharType="separate"/>
            </w:r>
            <w:r w:rsidRPr="00812035">
              <w:rPr>
                <w:noProof/>
                <w:webHidden/>
              </w:rPr>
              <w:t>8</w:t>
            </w:r>
            <w:r w:rsidRPr="00812035">
              <w:rPr>
                <w:noProof/>
                <w:webHidden/>
              </w:rPr>
              <w:fldChar w:fldCharType="end"/>
            </w:r>
          </w:hyperlink>
        </w:p>
        <w:p w14:paraId="42636E2F" w14:textId="3E7969EC" w:rsidR="00812035" w:rsidRPr="00812035" w:rsidRDefault="00812035">
          <w:pPr>
            <w:pStyle w:val="TOC3"/>
            <w:tabs>
              <w:tab w:val="right" w:leader="dot" w:pos="9016"/>
            </w:tabs>
            <w:rPr>
              <w:noProof/>
            </w:rPr>
          </w:pPr>
          <w:hyperlink w:anchor="_Toc161843717" w:history="1">
            <w:r w:rsidRPr="00812035">
              <w:rPr>
                <w:rStyle w:val="Hyperlink"/>
                <w:rFonts w:eastAsia="Times New Roman" w:cstheme="majorBidi"/>
                <w:noProof/>
                <w:lang w:eastAsia="en-GB"/>
              </w:rPr>
              <w:t>F2. What kind of payments are within the scope of the statutory power to pay for goods and/or services?</w:t>
            </w:r>
            <w:r w:rsidRPr="00812035">
              <w:rPr>
                <w:noProof/>
                <w:webHidden/>
              </w:rPr>
              <w:tab/>
            </w:r>
            <w:r w:rsidRPr="00812035">
              <w:rPr>
                <w:noProof/>
                <w:webHidden/>
              </w:rPr>
              <w:fldChar w:fldCharType="begin"/>
            </w:r>
            <w:r w:rsidRPr="00812035">
              <w:rPr>
                <w:noProof/>
                <w:webHidden/>
              </w:rPr>
              <w:instrText xml:space="preserve"> PAGEREF _Toc161843717 \h </w:instrText>
            </w:r>
            <w:r w:rsidRPr="00812035">
              <w:rPr>
                <w:noProof/>
                <w:webHidden/>
              </w:rPr>
            </w:r>
            <w:r w:rsidRPr="00812035">
              <w:rPr>
                <w:noProof/>
                <w:webHidden/>
              </w:rPr>
              <w:fldChar w:fldCharType="separate"/>
            </w:r>
            <w:r w:rsidRPr="00812035">
              <w:rPr>
                <w:noProof/>
                <w:webHidden/>
              </w:rPr>
              <w:t>9</w:t>
            </w:r>
            <w:r w:rsidRPr="00812035">
              <w:rPr>
                <w:noProof/>
                <w:webHidden/>
              </w:rPr>
              <w:fldChar w:fldCharType="end"/>
            </w:r>
          </w:hyperlink>
        </w:p>
        <w:p w14:paraId="7B86E720" w14:textId="153378CC" w:rsidR="00812035" w:rsidRPr="00812035" w:rsidRDefault="00812035">
          <w:pPr>
            <w:pStyle w:val="TOC3"/>
            <w:tabs>
              <w:tab w:val="right" w:leader="dot" w:pos="9016"/>
            </w:tabs>
            <w:rPr>
              <w:noProof/>
            </w:rPr>
          </w:pPr>
          <w:hyperlink w:anchor="_Toc161843718" w:history="1">
            <w:r w:rsidRPr="00812035">
              <w:rPr>
                <w:rStyle w:val="Hyperlink"/>
                <w:rFonts w:eastAsia="Times New Roman" w:cstheme="majorBidi"/>
                <w:noProof/>
                <w:lang w:eastAsia="en-GB"/>
              </w:rPr>
              <w:t>F3. What payments are outside of the scope of the statutory power?</w:t>
            </w:r>
            <w:r w:rsidRPr="00812035">
              <w:rPr>
                <w:noProof/>
                <w:webHidden/>
              </w:rPr>
              <w:tab/>
            </w:r>
            <w:r w:rsidRPr="00812035">
              <w:rPr>
                <w:noProof/>
                <w:webHidden/>
              </w:rPr>
              <w:fldChar w:fldCharType="begin"/>
            </w:r>
            <w:r w:rsidRPr="00812035">
              <w:rPr>
                <w:noProof/>
                <w:webHidden/>
              </w:rPr>
              <w:instrText xml:space="preserve"> PAGEREF _Toc161843718 \h </w:instrText>
            </w:r>
            <w:r w:rsidRPr="00812035">
              <w:rPr>
                <w:noProof/>
                <w:webHidden/>
              </w:rPr>
            </w:r>
            <w:r w:rsidRPr="00812035">
              <w:rPr>
                <w:noProof/>
                <w:webHidden/>
              </w:rPr>
              <w:fldChar w:fldCharType="separate"/>
            </w:r>
            <w:r w:rsidRPr="00812035">
              <w:rPr>
                <w:noProof/>
                <w:webHidden/>
              </w:rPr>
              <w:t>9</w:t>
            </w:r>
            <w:r w:rsidRPr="00812035">
              <w:rPr>
                <w:noProof/>
                <w:webHidden/>
              </w:rPr>
              <w:fldChar w:fldCharType="end"/>
            </w:r>
          </w:hyperlink>
        </w:p>
        <w:p w14:paraId="015D9F9B" w14:textId="7D3DB42F" w:rsidR="00812035" w:rsidRPr="00812035" w:rsidRDefault="00812035">
          <w:pPr>
            <w:pStyle w:val="TOC3"/>
            <w:tabs>
              <w:tab w:val="right" w:leader="dot" w:pos="9016"/>
            </w:tabs>
            <w:rPr>
              <w:noProof/>
            </w:rPr>
          </w:pPr>
          <w:hyperlink w:anchor="_Toc161843719" w:history="1">
            <w:r w:rsidRPr="00812035">
              <w:rPr>
                <w:rStyle w:val="Hyperlink"/>
                <w:rFonts w:eastAsia="Times New Roman" w:cstheme="majorBidi"/>
                <w:noProof/>
                <w:lang w:eastAsia="en-GB"/>
              </w:rPr>
              <w:t>F4. Will we make a 'comfort' Order if trustees are not sure that the statutory power applies in a particular case?</w:t>
            </w:r>
            <w:r w:rsidRPr="00812035">
              <w:rPr>
                <w:noProof/>
                <w:webHidden/>
              </w:rPr>
              <w:tab/>
            </w:r>
            <w:r w:rsidRPr="00812035">
              <w:rPr>
                <w:noProof/>
                <w:webHidden/>
              </w:rPr>
              <w:fldChar w:fldCharType="begin"/>
            </w:r>
            <w:r w:rsidRPr="00812035">
              <w:rPr>
                <w:noProof/>
                <w:webHidden/>
              </w:rPr>
              <w:instrText xml:space="preserve"> PAGEREF _Toc161843719 \h </w:instrText>
            </w:r>
            <w:r w:rsidRPr="00812035">
              <w:rPr>
                <w:noProof/>
                <w:webHidden/>
              </w:rPr>
            </w:r>
            <w:r w:rsidRPr="00812035">
              <w:rPr>
                <w:noProof/>
                <w:webHidden/>
              </w:rPr>
              <w:fldChar w:fldCharType="separate"/>
            </w:r>
            <w:r w:rsidRPr="00812035">
              <w:rPr>
                <w:noProof/>
                <w:webHidden/>
              </w:rPr>
              <w:t>10</w:t>
            </w:r>
            <w:r w:rsidRPr="00812035">
              <w:rPr>
                <w:noProof/>
                <w:webHidden/>
              </w:rPr>
              <w:fldChar w:fldCharType="end"/>
            </w:r>
          </w:hyperlink>
        </w:p>
        <w:p w14:paraId="7FC09CDA" w14:textId="56254168" w:rsidR="00812035" w:rsidRPr="00812035" w:rsidRDefault="00812035">
          <w:pPr>
            <w:pStyle w:val="TOC3"/>
            <w:tabs>
              <w:tab w:val="right" w:leader="dot" w:pos="9016"/>
            </w:tabs>
            <w:rPr>
              <w:noProof/>
            </w:rPr>
          </w:pPr>
          <w:hyperlink w:anchor="_Toc161843720" w:history="1">
            <w:r w:rsidRPr="00812035">
              <w:rPr>
                <w:rStyle w:val="Hyperlink"/>
                <w:rFonts w:eastAsia="Times New Roman" w:cstheme="majorBidi"/>
                <w:noProof/>
                <w:lang w:eastAsia="en-GB"/>
              </w:rPr>
              <w:t>F5. Should the agreement contain a statement that the level of payment does not exceed what might be considered reasonable for the goods and/or service to be provided and that it is in the best interests of the charity to make the payment?</w:t>
            </w:r>
            <w:r w:rsidRPr="00812035">
              <w:rPr>
                <w:noProof/>
                <w:webHidden/>
              </w:rPr>
              <w:tab/>
            </w:r>
            <w:r w:rsidRPr="00812035">
              <w:rPr>
                <w:noProof/>
                <w:webHidden/>
              </w:rPr>
              <w:fldChar w:fldCharType="begin"/>
            </w:r>
            <w:r w:rsidRPr="00812035">
              <w:rPr>
                <w:noProof/>
                <w:webHidden/>
              </w:rPr>
              <w:instrText xml:space="preserve"> PAGEREF _Toc161843720 \h </w:instrText>
            </w:r>
            <w:r w:rsidRPr="00812035">
              <w:rPr>
                <w:noProof/>
                <w:webHidden/>
              </w:rPr>
            </w:r>
            <w:r w:rsidRPr="00812035">
              <w:rPr>
                <w:noProof/>
                <w:webHidden/>
              </w:rPr>
              <w:fldChar w:fldCharType="separate"/>
            </w:r>
            <w:r w:rsidRPr="00812035">
              <w:rPr>
                <w:noProof/>
                <w:webHidden/>
              </w:rPr>
              <w:t>10</w:t>
            </w:r>
            <w:r w:rsidRPr="00812035">
              <w:rPr>
                <w:noProof/>
                <w:webHidden/>
              </w:rPr>
              <w:fldChar w:fldCharType="end"/>
            </w:r>
          </w:hyperlink>
        </w:p>
        <w:p w14:paraId="1B4E4319" w14:textId="69C5DAF2" w:rsidR="00812035" w:rsidRPr="00812035" w:rsidRDefault="00812035">
          <w:pPr>
            <w:pStyle w:val="TOC3"/>
            <w:tabs>
              <w:tab w:val="right" w:leader="dot" w:pos="9016"/>
            </w:tabs>
            <w:rPr>
              <w:noProof/>
            </w:rPr>
          </w:pPr>
          <w:hyperlink w:anchor="_Toc161843721" w:history="1">
            <w:r w:rsidRPr="00812035">
              <w:rPr>
                <w:rStyle w:val="Hyperlink"/>
                <w:rFonts w:eastAsia="Times New Roman" w:cstheme="majorBidi"/>
                <w:noProof/>
                <w:lang w:eastAsia="en-GB"/>
              </w:rPr>
              <w:t>F6. Under Condition D, the statutory power cannot apply where there is an express prohibition against trustee benefit in the charity’s trusts. How does this affect our model benefits and payments clause?</w:t>
            </w:r>
            <w:r w:rsidRPr="00812035">
              <w:rPr>
                <w:noProof/>
                <w:webHidden/>
              </w:rPr>
              <w:tab/>
            </w:r>
            <w:r w:rsidRPr="00812035">
              <w:rPr>
                <w:noProof/>
                <w:webHidden/>
              </w:rPr>
              <w:fldChar w:fldCharType="begin"/>
            </w:r>
            <w:r w:rsidRPr="00812035">
              <w:rPr>
                <w:noProof/>
                <w:webHidden/>
              </w:rPr>
              <w:instrText xml:space="preserve"> PAGEREF _Toc161843721 \h </w:instrText>
            </w:r>
            <w:r w:rsidRPr="00812035">
              <w:rPr>
                <w:noProof/>
                <w:webHidden/>
              </w:rPr>
            </w:r>
            <w:r w:rsidRPr="00812035">
              <w:rPr>
                <w:noProof/>
                <w:webHidden/>
              </w:rPr>
              <w:fldChar w:fldCharType="separate"/>
            </w:r>
            <w:r w:rsidRPr="00812035">
              <w:rPr>
                <w:noProof/>
                <w:webHidden/>
              </w:rPr>
              <w:t>11</w:t>
            </w:r>
            <w:r w:rsidRPr="00812035">
              <w:rPr>
                <w:noProof/>
                <w:webHidden/>
              </w:rPr>
              <w:fldChar w:fldCharType="end"/>
            </w:r>
          </w:hyperlink>
        </w:p>
        <w:p w14:paraId="2470C451" w14:textId="11C53E78" w:rsidR="00812035" w:rsidRPr="00812035" w:rsidRDefault="00812035">
          <w:pPr>
            <w:pStyle w:val="TOC3"/>
            <w:tabs>
              <w:tab w:val="right" w:leader="dot" w:pos="9016"/>
            </w:tabs>
            <w:rPr>
              <w:noProof/>
            </w:rPr>
          </w:pPr>
          <w:hyperlink w:anchor="_Toc161843722" w:history="1">
            <w:r w:rsidRPr="00812035">
              <w:rPr>
                <w:rStyle w:val="Hyperlink"/>
                <w:rFonts w:eastAsia="Times New Roman" w:cstheme="majorBidi"/>
                <w:noProof/>
                <w:lang w:eastAsia="en-GB"/>
              </w:rPr>
              <w:t>F7. How does this apply to directors of charitable companies?</w:t>
            </w:r>
            <w:r w:rsidRPr="00812035">
              <w:rPr>
                <w:noProof/>
                <w:webHidden/>
              </w:rPr>
              <w:tab/>
            </w:r>
            <w:r w:rsidRPr="00812035">
              <w:rPr>
                <w:noProof/>
                <w:webHidden/>
              </w:rPr>
              <w:fldChar w:fldCharType="begin"/>
            </w:r>
            <w:r w:rsidRPr="00812035">
              <w:rPr>
                <w:noProof/>
                <w:webHidden/>
              </w:rPr>
              <w:instrText xml:space="preserve"> PAGEREF _Toc161843722 \h </w:instrText>
            </w:r>
            <w:r w:rsidRPr="00812035">
              <w:rPr>
                <w:noProof/>
                <w:webHidden/>
              </w:rPr>
            </w:r>
            <w:r w:rsidRPr="00812035">
              <w:rPr>
                <w:noProof/>
                <w:webHidden/>
              </w:rPr>
              <w:fldChar w:fldCharType="separate"/>
            </w:r>
            <w:r w:rsidRPr="00812035">
              <w:rPr>
                <w:noProof/>
                <w:webHidden/>
              </w:rPr>
              <w:t>12</w:t>
            </w:r>
            <w:r w:rsidRPr="00812035">
              <w:rPr>
                <w:noProof/>
                <w:webHidden/>
              </w:rPr>
              <w:fldChar w:fldCharType="end"/>
            </w:r>
          </w:hyperlink>
        </w:p>
        <w:p w14:paraId="15280DAD" w14:textId="1CC9C332" w:rsidR="00812035" w:rsidRPr="00812035" w:rsidRDefault="00812035">
          <w:pPr>
            <w:pStyle w:val="TOC3"/>
            <w:tabs>
              <w:tab w:val="right" w:leader="dot" w:pos="9016"/>
            </w:tabs>
            <w:rPr>
              <w:noProof/>
            </w:rPr>
          </w:pPr>
          <w:hyperlink w:anchor="_Toc161843723" w:history="1">
            <w:r w:rsidRPr="00812035">
              <w:rPr>
                <w:rStyle w:val="Hyperlink"/>
                <w:rFonts w:eastAsia="Times New Roman" w:cstheme="majorBidi"/>
                <w:noProof/>
                <w:lang w:eastAsia="en-GB"/>
              </w:rPr>
              <w:t>F7.1 Where there is no prohibition on trustee benefit in the articles</w:t>
            </w:r>
            <w:r w:rsidRPr="00812035">
              <w:rPr>
                <w:noProof/>
                <w:webHidden/>
              </w:rPr>
              <w:tab/>
            </w:r>
            <w:r w:rsidRPr="00812035">
              <w:rPr>
                <w:noProof/>
                <w:webHidden/>
              </w:rPr>
              <w:fldChar w:fldCharType="begin"/>
            </w:r>
            <w:r w:rsidRPr="00812035">
              <w:rPr>
                <w:noProof/>
                <w:webHidden/>
              </w:rPr>
              <w:instrText xml:space="preserve"> PAGEREF _Toc161843723 \h </w:instrText>
            </w:r>
            <w:r w:rsidRPr="00812035">
              <w:rPr>
                <w:noProof/>
                <w:webHidden/>
              </w:rPr>
            </w:r>
            <w:r w:rsidRPr="00812035">
              <w:rPr>
                <w:noProof/>
                <w:webHidden/>
              </w:rPr>
              <w:fldChar w:fldCharType="separate"/>
            </w:r>
            <w:r w:rsidRPr="00812035">
              <w:rPr>
                <w:noProof/>
                <w:webHidden/>
              </w:rPr>
              <w:t>12</w:t>
            </w:r>
            <w:r w:rsidRPr="00812035">
              <w:rPr>
                <w:noProof/>
                <w:webHidden/>
              </w:rPr>
              <w:fldChar w:fldCharType="end"/>
            </w:r>
          </w:hyperlink>
        </w:p>
        <w:p w14:paraId="3CA16CCE" w14:textId="04A65A89" w:rsidR="00812035" w:rsidRPr="00812035" w:rsidRDefault="00812035">
          <w:pPr>
            <w:pStyle w:val="TOC3"/>
            <w:tabs>
              <w:tab w:val="right" w:leader="dot" w:pos="9016"/>
            </w:tabs>
            <w:rPr>
              <w:noProof/>
            </w:rPr>
          </w:pPr>
          <w:hyperlink w:anchor="_Toc161843724" w:history="1">
            <w:r w:rsidRPr="00812035">
              <w:rPr>
                <w:rStyle w:val="Hyperlink"/>
                <w:rFonts w:eastAsia="Times New Roman" w:cstheme="majorBidi"/>
                <w:noProof/>
                <w:lang w:eastAsia="en-GB"/>
              </w:rPr>
              <w:t>F7.2 Where there is an express prohibition</w:t>
            </w:r>
            <w:r w:rsidRPr="00812035">
              <w:rPr>
                <w:noProof/>
                <w:webHidden/>
              </w:rPr>
              <w:tab/>
            </w:r>
            <w:r w:rsidRPr="00812035">
              <w:rPr>
                <w:noProof/>
                <w:webHidden/>
              </w:rPr>
              <w:fldChar w:fldCharType="begin"/>
            </w:r>
            <w:r w:rsidRPr="00812035">
              <w:rPr>
                <w:noProof/>
                <w:webHidden/>
              </w:rPr>
              <w:instrText xml:space="preserve"> PAGEREF _Toc161843724 \h </w:instrText>
            </w:r>
            <w:r w:rsidRPr="00812035">
              <w:rPr>
                <w:noProof/>
                <w:webHidden/>
              </w:rPr>
            </w:r>
            <w:r w:rsidRPr="00812035">
              <w:rPr>
                <w:noProof/>
                <w:webHidden/>
              </w:rPr>
              <w:fldChar w:fldCharType="separate"/>
            </w:r>
            <w:r w:rsidRPr="00812035">
              <w:rPr>
                <w:noProof/>
                <w:webHidden/>
              </w:rPr>
              <w:t>12</w:t>
            </w:r>
            <w:r w:rsidRPr="00812035">
              <w:rPr>
                <w:noProof/>
                <w:webHidden/>
              </w:rPr>
              <w:fldChar w:fldCharType="end"/>
            </w:r>
          </w:hyperlink>
        </w:p>
        <w:p w14:paraId="17D7F534" w14:textId="0DAB540E" w:rsidR="00812035" w:rsidRPr="00812035" w:rsidRDefault="00812035">
          <w:pPr>
            <w:pStyle w:val="TOC3"/>
            <w:tabs>
              <w:tab w:val="right" w:leader="dot" w:pos="9016"/>
            </w:tabs>
            <w:rPr>
              <w:noProof/>
            </w:rPr>
          </w:pPr>
          <w:hyperlink w:anchor="_Toc161843725" w:history="1">
            <w:r w:rsidRPr="00812035">
              <w:rPr>
                <w:rStyle w:val="Hyperlink"/>
                <w:rFonts w:eastAsia="Times New Roman" w:cstheme="majorBidi"/>
                <w:noProof/>
                <w:lang w:eastAsia="en-GB"/>
              </w:rPr>
              <w:t>F8. Under s186, if a trustee acts while disqualified, we can order repayment of any remuneration paid to him or her - or direct that no further moneys be paid over. In this context, what constitutes 'any decision or other matter connected with the agreement' that a trustee is disqualified from acting in?</w:t>
            </w:r>
            <w:r w:rsidRPr="00812035">
              <w:rPr>
                <w:noProof/>
                <w:webHidden/>
              </w:rPr>
              <w:tab/>
            </w:r>
            <w:r w:rsidRPr="00812035">
              <w:rPr>
                <w:noProof/>
                <w:webHidden/>
              </w:rPr>
              <w:fldChar w:fldCharType="begin"/>
            </w:r>
            <w:r w:rsidRPr="00812035">
              <w:rPr>
                <w:noProof/>
                <w:webHidden/>
              </w:rPr>
              <w:instrText xml:space="preserve"> PAGEREF _Toc161843725 \h </w:instrText>
            </w:r>
            <w:r w:rsidRPr="00812035">
              <w:rPr>
                <w:noProof/>
                <w:webHidden/>
              </w:rPr>
            </w:r>
            <w:r w:rsidRPr="00812035">
              <w:rPr>
                <w:noProof/>
                <w:webHidden/>
              </w:rPr>
              <w:fldChar w:fldCharType="separate"/>
            </w:r>
            <w:r w:rsidRPr="00812035">
              <w:rPr>
                <w:noProof/>
                <w:webHidden/>
              </w:rPr>
              <w:t>13</w:t>
            </w:r>
            <w:r w:rsidRPr="00812035">
              <w:rPr>
                <w:noProof/>
                <w:webHidden/>
              </w:rPr>
              <w:fldChar w:fldCharType="end"/>
            </w:r>
          </w:hyperlink>
        </w:p>
        <w:p w14:paraId="52E6819D" w14:textId="3743B4B0" w:rsidR="00812035" w:rsidRPr="00812035" w:rsidRDefault="00812035">
          <w:pPr>
            <w:pStyle w:val="TOC3"/>
            <w:tabs>
              <w:tab w:val="right" w:leader="dot" w:pos="9016"/>
            </w:tabs>
            <w:rPr>
              <w:noProof/>
            </w:rPr>
          </w:pPr>
          <w:hyperlink w:anchor="_Toc161843726" w:history="1">
            <w:r w:rsidRPr="00812035">
              <w:rPr>
                <w:rStyle w:val="Hyperlink"/>
                <w:rFonts w:eastAsia="Times New Roman" w:cstheme="majorBidi"/>
                <w:noProof/>
                <w:lang w:eastAsia="en-GB"/>
              </w:rPr>
              <w:t>F9. If a trustee or connected person breaches the agreement, will this mean, for example, that any legal work carried out by that person on the charity’s behalf would be invalid?</w:t>
            </w:r>
            <w:r w:rsidRPr="00812035">
              <w:rPr>
                <w:noProof/>
                <w:webHidden/>
              </w:rPr>
              <w:tab/>
            </w:r>
            <w:r w:rsidRPr="00812035">
              <w:rPr>
                <w:noProof/>
                <w:webHidden/>
              </w:rPr>
              <w:fldChar w:fldCharType="begin"/>
            </w:r>
            <w:r w:rsidRPr="00812035">
              <w:rPr>
                <w:noProof/>
                <w:webHidden/>
              </w:rPr>
              <w:instrText xml:space="preserve"> PAGEREF _Toc161843726 \h </w:instrText>
            </w:r>
            <w:r w:rsidRPr="00812035">
              <w:rPr>
                <w:noProof/>
                <w:webHidden/>
              </w:rPr>
            </w:r>
            <w:r w:rsidRPr="00812035">
              <w:rPr>
                <w:noProof/>
                <w:webHidden/>
              </w:rPr>
              <w:fldChar w:fldCharType="separate"/>
            </w:r>
            <w:r w:rsidRPr="00812035">
              <w:rPr>
                <w:noProof/>
                <w:webHidden/>
              </w:rPr>
              <w:t>14</w:t>
            </w:r>
            <w:r w:rsidRPr="00812035">
              <w:rPr>
                <w:noProof/>
                <w:webHidden/>
              </w:rPr>
              <w:fldChar w:fldCharType="end"/>
            </w:r>
          </w:hyperlink>
        </w:p>
        <w:p w14:paraId="700746F0" w14:textId="15E6CD0E" w:rsidR="00812035" w:rsidRPr="00812035" w:rsidRDefault="00812035">
          <w:pPr>
            <w:pStyle w:val="TOC3"/>
            <w:tabs>
              <w:tab w:val="right" w:leader="dot" w:pos="9016"/>
            </w:tabs>
            <w:rPr>
              <w:noProof/>
            </w:rPr>
          </w:pPr>
          <w:hyperlink w:anchor="_Toc161843727" w:history="1">
            <w:r w:rsidRPr="00812035">
              <w:rPr>
                <w:rStyle w:val="Hyperlink"/>
                <w:rFonts w:eastAsia="Times New Roman" w:cstheme="majorBidi"/>
                <w:noProof/>
                <w:lang w:eastAsia="en-GB"/>
              </w:rPr>
              <w:t>F10. Will a breach of the agreement by a 'disqualified' trustee be a criminal offence?</w:t>
            </w:r>
            <w:r w:rsidRPr="00812035">
              <w:rPr>
                <w:noProof/>
                <w:webHidden/>
              </w:rPr>
              <w:tab/>
            </w:r>
            <w:r w:rsidRPr="00812035">
              <w:rPr>
                <w:noProof/>
                <w:webHidden/>
              </w:rPr>
              <w:fldChar w:fldCharType="begin"/>
            </w:r>
            <w:r w:rsidRPr="00812035">
              <w:rPr>
                <w:noProof/>
                <w:webHidden/>
              </w:rPr>
              <w:instrText xml:space="preserve"> PAGEREF _Toc161843727 \h </w:instrText>
            </w:r>
            <w:r w:rsidRPr="00812035">
              <w:rPr>
                <w:noProof/>
                <w:webHidden/>
              </w:rPr>
            </w:r>
            <w:r w:rsidRPr="00812035">
              <w:rPr>
                <w:noProof/>
                <w:webHidden/>
              </w:rPr>
              <w:fldChar w:fldCharType="separate"/>
            </w:r>
            <w:r w:rsidRPr="00812035">
              <w:rPr>
                <w:noProof/>
                <w:webHidden/>
              </w:rPr>
              <w:t>14</w:t>
            </w:r>
            <w:r w:rsidRPr="00812035">
              <w:rPr>
                <w:noProof/>
                <w:webHidden/>
              </w:rPr>
              <w:fldChar w:fldCharType="end"/>
            </w:r>
          </w:hyperlink>
        </w:p>
        <w:p w14:paraId="62395C66" w14:textId="0BE0FD41" w:rsidR="00812035" w:rsidRPr="00812035" w:rsidRDefault="00812035">
          <w:pPr>
            <w:pStyle w:val="TOC3"/>
            <w:tabs>
              <w:tab w:val="right" w:leader="dot" w:pos="9016"/>
            </w:tabs>
            <w:rPr>
              <w:noProof/>
            </w:rPr>
          </w:pPr>
          <w:hyperlink w:anchor="_Toc161843728" w:history="1">
            <w:r w:rsidRPr="00812035">
              <w:rPr>
                <w:rStyle w:val="Hyperlink"/>
                <w:rFonts w:eastAsia="Times New Roman" w:cstheme="majorBidi"/>
                <w:noProof/>
                <w:lang w:eastAsia="en-GB"/>
              </w:rPr>
              <w:t>F11. Suppose an agreement is entered into with a trustee enabling him/her to be paid for delivering lectures in the charity’s museum. Would that person be disqualified from decisions relating to fixing the scale of payments for lecturers? Would it extend to agreeing the museum’s policy on lectures and similar activities? Would it extend to any discussion about the development of the charity’s business plan, if this were to mention the lectures?</w:t>
            </w:r>
            <w:r w:rsidRPr="00812035">
              <w:rPr>
                <w:noProof/>
                <w:webHidden/>
              </w:rPr>
              <w:tab/>
            </w:r>
            <w:r w:rsidRPr="00812035">
              <w:rPr>
                <w:noProof/>
                <w:webHidden/>
              </w:rPr>
              <w:fldChar w:fldCharType="begin"/>
            </w:r>
            <w:r w:rsidRPr="00812035">
              <w:rPr>
                <w:noProof/>
                <w:webHidden/>
              </w:rPr>
              <w:instrText xml:space="preserve"> PAGEREF _Toc161843728 \h </w:instrText>
            </w:r>
            <w:r w:rsidRPr="00812035">
              <w:rPr>
                <w:noProof/>
                <w:webHidden/>
              </w:rPr>
            </w:r>
            <w:r w:rsidRPr="00812035">
              <w:rPr>
                <w:noProof/>
                <w:webHidden/>
              </w:rPr>
              <w:fldChar w:fldCharType="separate"/>
            </w:r>
            <w:r w:rsidRPr="00812035">
              <w:rPr>
                <w:noProof/>
                <w:webHidden/>
              </w:rPr>
              <w:t>14</w:t>
            </w:r>
            <w:r w:rsidRPr="00812035">
              <w:rPr>
                <w:noProof/>
                <w:webHidden/>
              </w:rPr>
              <w:fldChar w:fldCharType="end"/>
            </w:r>
          </w:hyperlink>
        </w:p>
        <w:p w14:paraId="4D9A8E98" w14:textId="4208B274" w:rsidR="00812035" w:rsidRPr="00812035" w:rsidRDefault="00812035">
          <w:pPr>
            <w:pStyle w:val="TOC3"/>
            <w:tabs>
              <w:tab w:val="right" w:leader="dot" w:pos="9016"/>
            </w:tabs>
            <w:rPr>
              <w:noProof/>
            </w:rPr>
          </w:pPr>
          <w:hyperlink w:anchor="_Toc161843729" w:history="1">
            <w:r w:rsidRPr="00812035">
              <w:rPr>
                <w:rStyle w:val="Hyperlink"/>
                <w:rFonts w:eastAsia="Times New Roman" w:cstheme="majorBidi"/>
                <w:noProof/>
                <w:lang w:eastAsia="en-GB"/>
              </w:rPr>
              <w:t>F12. Does use of the statutory power need to be mentioned in charity accounts?</w:t>
            </w:r>
            <w:r w:rsidRPr="00812035">
              <w:rPr>
                <w:noProof/>
                <w:webHidden/>
              </w:rPr>
              <w:tab/>
            </w:r>
            <w:r w:rsidRPr="00812035">
              <w:rPr>
                <w:noProof/>
                <w:webHidden/>
              </w:rPr>
              <w:fldChar w:fldCharType="begin"/>
            </w:r>
            <w:r w:rsidRPr="00812035">
              <w:rPr>
                <w:noProof/>
                <w:webHidden/>
              </w:rPr>
              <w:instrText xml:space="preserve"> PAGEREF _Toc161843729 \h </w:instrText>
            </w:r>
            <w:r w:rsidRPr="00812035">
              <w:rPr>
                <w:noProof/>
                <w:webHidden/>
              </w:rPr>
            </w:r>
            <w:r w:rsidRPr="00812035">
              <w:rPr>
                <w:noProof/>
                <w:webHidden/>
              </w:rPr>
              <w:fldChar w:fldCharType="separate"/>
            </w:r>
            <w:r w:rsidRPr="00812035">
              <w:rPr>
                <w:noProof/>
                <w:webHidden/>
              </w:rPr>
              <w:t>15</w:t>
            </w:r>
            <w:r w:rsidRPr="00812035">
              <w:rPr>
                <w:noProof/>
                <w:webHidden/>
              </w:rPr>
              <w:fldChar w:fldCharType="end"/>
            </w:r>
          </w:hyperlink>
        </w:p>
        <w:p w14:paraId="74FA28AC" w14:textId="3D5D3962" w:rsidR="009F57C4" w:rsidRPr="00343DAF" w:rsidRDefault="009F57C4" w:rsidP="009F57C4">
          <w:pPr>
            <w:spacing w:line="276" w:lineRule="auto"/>
          </w:pPr>
          <w:r w:rsidRPr="00812035">
            <w:rPr>
              <w:noProof/>
            </w:rPr>
            <w:fldChar w:fldCharType="end"/>
          </w:r>
        </w:p>
      </w:sdtContent>
    </w:sdt>
    <w:p w14:paraId="3BF73EBA"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p>
    <w:p w14:paraId="172E434F"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p>
    <w:p w14:paraId="64D8EA17" w14:textId="77777777" w:rsidR="009F57C4" w:rsidRPr="00343DAF" w:rsidRDefault="009F57C4" w:rsidP="009F57C4">
      <w:pPr>
        <w:spacing w:before="100" w:beforeAutospacing="1" w:after="100" w:afterAutospacing="1" w:line="276" w:lineRule="auto"/>
        <w:outlineLvl w:val="0"/>
        <w:rPr>
          <w:rFonts w:eastAsia="Times New Roman" w:cs="Arial"/>
          <w:b/>
          <w:bCs/>
          <w:kern w:val="36"/>
          <w:sz w:val="40"/>
          <w:szCs w:val="32"/>
          <w:lang w:eastAsia="en-GB"/>
        </w:rPr>
      </w:pPr>
      <w:bookmarkStart w:id="1" w:name="_Toc161843703"/>
      <w:r w:rsidRPr="00343DAF">
        <w:rPr>
          <w:rFonts w:eastAsia="Times New Roman" w:cs="Arial"/>
          <w:b/>
          <w:bCs/>
          <w:kern w:val="36"/>
          <w:sz w:val="40"/>
          <w:szCs w:val="32"/>
          <w:lang w:eastAsia="en-GB"/>
        </w:rPr>
        <w:t>Policy Statement/Overview</w:t>
      </w:r>
      <w:bookmarkEnd w:id="1"/>
    </w:p>
    <w:p w14:paraId="70995DA1" w14:textId="77777777" w:rsidR="009F57C4" w:rsidRPr="00343DAF" w:rsidRDefault="009F57C4" w:rsidP="009F57C4">
      <w:pPr>
        <w:shd w:val="clear" w:color="auto" w:fill="FFFFFF"/>
        <w:spacing w:after="0" w:line="276" w:lineRule="auto"/>
        <w:outlineLvl w:val="1"/>
        <w:rPr>
          <w:rFonts w:eastAsia="Times New Roman" w:cs="Arial"/>
          <w:b/>
          <w:bCs/>
          <w:color w:val="000000"/>
          <w:szCs w:val="24"/>
          <w:lang w:eastAsia="en-GB"/>
        </w:rPr>
      </w:pPr>
    </w:p>
    <w:p w14:paraId="46A9CB32"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000000"/>
          <w:szCs w:val="24"/>
          <w:lang w:eastAsia="en-GB"/>
        </w:rPr>
        <w:t xml:space="preserve">You will find an explanation on dealing with payments to charity trustees for the supply of goods to the charity in the Law Commission’s consultation paper </w:t>
      </w:r>
      <w:hyperlink r:id="rId9" w:anchor="page=168" w:tgtFrame="_blank" w:tooltip="Chapter 10 - Payments to trustees for the supply of goods" w:history="1">
        <w:r w:rsidRPr="00343DAF">
          <w:rPr>
            <w:rFonts w:eastAsia="Times New Roman" w:cs="Arial"/>
            <w:b/>
            <w:bCs/>
            <w:i/>
            <w:iCs/>
            <w:color w:val="323298"/>
            <w:szCs w:val="24"/>
            <w:lang w:eastAsia="en-GB"/>
          </w:rPr>
          <w:t>Technical Issues in Charity Law</w:t>
        </w:r>
      </w:hyperlink>
      <w:r w:rsidRPr="00343DAF">
        <w:rPr>
          <w:rFonts w:eastAsia="Times New Roman" w:cs="Arial"/>
          <w:color w:val="000000"/>
          <w:szCs w:val="24"/>
          <w:lang w:eastAsia="en-GB"/>
        </w:rPr>
        <w:t>. This information can help you gain a more detailed understanding of the current position: the proposals for reform in that paper have not yet been implemented, however, and can have no relevance to our casework.</w:t>
      </w:r>
      <w:r w:rsidRPr="00343DAF">
        <w:rPr>
          <w:rFonts w:eastAsia="Times New Roman" w:cs="Arial"/>
          <w:color w:val="262626"/>
          <w:szCs w:val="24"/>
          <w:lang w:eastAsia="en-GB"/>
        </w:rPr>
        <w:t xml:space="preserve"> </w:t>
      </w:r>
    </w:p>
    <w:p w14:paraId="7AE5119B"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2" w:name="_Toc161843704"/>
      <w:r w:rsidRPr="00343DAF">
        <w:rPr>
          <w:rFonts w:eastAsia="Times New Roman" w:cstheme="majorBidi"/>
          <w:b/>
          <w:color w:val="000000" w:themeColor="text1"/>
          <w:sz w:val="32"/>
          <w:szCs w:val="24"/>
          <w:lang w:eastAsia="en-GB"/>
        </w:rPr>
        <w:lastRenderedPageBreak/>
        <w:t>Introduction</w:t>
      </w:r>
      <w:bookmarkEnd w:id="2"/>
      <w:r w:rsidRPr="00343DAF">
        <w:rPr>
          <w:rFonts w:eastAsia="Times New Roman" w:cstheme="majorBidi"/>
          <w:b/>
          <w:color w:val="000000" w:themeColor="text1"/>
          <w:sz w:val="32"/>
          <w:szCs w:val="24"/>
          <w:lang w:eastAsia="en-GB"/>
        </w:rPr>
        <w:t xml:space="preserve"> </w:t>
      </w:r>
    </w:p>
    <w:p w14:paraId="40E15C59" w14:textId="77777777" w:rsidR="009F57C4" w:rsidRPr="00343DAF" w:rsidRDefault="009F57C4" w:rsidP="009F57C4">
      <w:pPr>
        <w:rPr>
          <w:lang w:eastAsia="en-GB"/>
        </w:rPr>
      </w:pPr>
    </w:p>
    <w:p w14:paraId="20A091AF"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The Commission’s overall policy on payments to charity trustees is set out in </w:t>
      </w:r>
      <w:hyperlink r:id="rId10" w:tgtFrame="_blank" w:tooltip="CC11" w:history="1">
        <w:r w:rsidRPr="00343DAF">
          <w:rPr>
            <w:rFonts w:eastAsia="Times New Roman" w:cs="Arial"/>
            <w:color w:val="323298"/>
            <w:szCs w:val="24"/>
            <w:u w:val="single"/>
            <w:lang w:eastAsia="en-GB"/>
          </w:rPr>
          <w:t>Trustee Expenses and Payments</w:t>
        </w:r>
      </w:hyperlink>
      <w:r w:rsidRPr="00343DAF">
        <w:rPr>
          <w:rFonts w:eastAsia="Times New Roman" w:cs="Arial"/>
          <w:color w:val="262626"/>
          <w:szCs w:val="24"/>
          <w:lang w:eastAsia="en-GB"/>
        </w:rPr>
        <w:t xml:space="preserve"> (CC11). Case officers need to read CC11, to familiarise themselves with our published policy, before advising trustees on any aspect of trustee payment. </w:t>
      </w:r>
    </w:p>
    <w:p w14:paraId="4B01A7C3"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p>
    <w:p w14:paraId="198DBEBB" w14:textId="77777777" w:rsidR="009F57C4" w:rsidRPr="00343DAF" w:rsidRDefault="009F57C4" w:rsidP="009F57C4">
      <w:pPr>
        <w:rPr>
          <w:rFonts w:cs="Arial"/>
          <w:color w:val="000000" w:themeColor="text1"/>
          <w:szCs w:val="24"/>
        </w:rPr>
      </w:pPr>
      <w:r w:rsidRPr="00343DAF">
        <w:rPr>
          <w:rFonts w:cs="Arial"/>
          <w:color w:val="000000" w:themeColor="text1"/>
          <w:szCs w:val="24"/>
        </w:rPr>
        <w:t xml:space="preserve">Trustees are not permitted to make any gain from their position as trustees. The starting point, therefore, is that trustees – and persons connected with them – cannot be paid for the provision of services (such as building, cleaning, accountancy or legal services) or for the provision of goods (such as building supplies or stationery). However, trustees can be paid for the provision of goods and/or services if the charity’s governing document permits such payment or the payment is permitted under s.185 of the Charities Act 2011 (as amended) (shortened to the ‘Charities Act’ in this guide). </w:t>
      </w:r>
    </w:p>
    <w:p w14:paraId="6DDACC12" w14:textId="77777777" w:rsidR="009F57C4" w:rsidRPr="00343DAF" w:rsidRDefault="009F57C4" w:rsidP="009F57C4">
      <w:pPr>
        <w:rPr>
          <w:rFonts w:cs="Arial"/>
          <w:color w:val="000000" w:themeColor="text1"/>
          <w:szCs w:val="24"/>
        </w:rPr>
      </w:pPr>
      <w:r w:rsidRPr="00343DAF">
        <w:rPr>
          <w:rFonts w:cs="Arial"/>
          <w:color w:val="000000" w:themeColor="text1"/>
          <w:szCs w:val="24"/>
        </w:rPr>
        <w:t xml:space="preserve">S.185 of the Charities Act provides charities with a default power to pay charity trustees, or persons connected with them (if all the conditions in s.185(2) are met) for: </w:t>
      </w:r>
    </w:p>
    <w:p w14:paraId="7DD3BAF5" w14:textId="77777777" w:rsidR="009F57C4" w:rsidRPr="00343DAF" w:rsidRDefault="009F57C4">
      <w:pPr>
        <w:numPr>
          <w:ilvl w:val="0"/>
          <w:numId w:val="12"/>
        </w:numPr>
        <w:contextualSpacing/>
        <w:rPr>
          <w:rFonts w:cs="Arial"/>
          <w:color w:val="000000" w:themeColor="text1"/>
          <w:szCs w:val="24"/>
        </w:rPr>
      </w:pPr>
      <w:r w:rsidRPr="00343DAF">
        <w:rPr>
          <w:rFonts w:cs="Arial"/>
          <w:color w:val="000000" w:themeColor="text1"/>
          <w:szCs w:val="24"/>
        </w:rPr>
        <w:t xml:space="preserve">the provision of services, </w:t>
      </w:r>
    </w:p>
    <w:p w14:paraId="3EB842EA" w14:textId="77777777" w:rsidR="009F57C4" w:rsidRPr="00343DAF" w:rsidRDefault="009F57C4">
      <w:pPr>
        <w:numPr>
          <w:ilvl w:val="0"/>
          <w:numId w:val="12"/>
        </w:numPr>
        <w:contextualSpacing/>
        <w:rPr>
          <w:rFonts w:cs="Arial"/>
          <w:color w:val="000000" w:themeColor="text1"/>
          <w:szCs w:val="24"/>
        </w:rPr>
      </w:pPr>
      <w:r w:rsidRPr="00343DAF">
        <w:rPr>
          <w:rFonts w:cs="Arial"/>
          <w:color w:val="000000" w:themeColor="text1"/>
          <w:szCs w:val="24"/>
        </w:rPr>
        <w:t xml:space="preserve">the provision of goods, or </w:t>
      </w:r>
    </w:p>
    <w:p w14:paraId="3DEBD2DD" w14:textId="77777777" w:rsidR="009F57C4" w:rsidRPr="00343DAF" w:rsidRDefault="009F57C4">
      <w:pPr>
        <w:numPr>
          <w:ilvl w:val="0"/>
          <w:numId w:val="12"/>
        </w:numPr>
        <w:contextualSpacing/>
        <w:rPr>
          <w:rFonts w:cs="Arial"/>
          <w:color w:val="000000" w:themeColor="text1"/>
          <w:szCs w:val="24"/>
        </w:rPr>
      </w:pPr>
      <w:r w:rsidRPr="00343DAF">
        <w:rPr>
          <w:rFonts w:cs="Arial"/>
          <w:color w:val="000000" w:themeColor="text1"/>
          <w:szCs w:val="24"/>
        </w:rPr>
        <w:t>the provision of goods and services together.</w:t>
      </w:r>
    </w:p>
    <w:p w14:paraId="1B05498B" w14:textId="77777777" w:rsidR="009F57C4" w:rsidRPr="00343DAF" w:rsidRDefault="009F57C4" w:rsidP="009F57C4">
      <w:pPr>
        <w:contextualSpacing/>
        <w:rPr>
          <w:rFonts w:cs="Arial"/>
          <w:color w:val="000000" w:themeColor="text1"/>
          <w:szCs w:val="24"/>
        </w:rPr>
      </w:pPr>
      <w:r w:rsidRPr="00343DAF">
        <w:rPr>
          <w:rFonts w:eastAsia="Times New Roman" w:cs="Arial"/>
          <w:color w:val="000000" w:themeColor="text1"/>
          <w:szCs w:val="24"/>
          <w:lang w:eastAsia="en-GB"/>
        </w:rPr>
        <w:t xml:space="preserve">In the context of payments to trustees this power is referred to as ‘the statutory power.’  </w:t>
      </w:r>
    </w:p>
    <w:p w14:paraId="34E32A7F" w14:textId="77777777" w:rsidR="009F57C4" w:rsidRPr="00343DAF" w:rsidRDefault="009F57C4" w:rsidP="009F57C4">
      <w:pPr>
        <w:rPr>
          <w:rFonts w:cs="Arial"/>
          <w:color w:val="000000" w:themeColor="text1"/>
          <w:szCs w:val="24"/>
        </w:rPr>
      </w:pPr>
      <w:r w:rsidRPr="00343DAF">
        <w:rPr>
          <w:rFonts w:cs="Arial"/>
          <w:color w:val="000000" w:themeColor="text1"/>
          <w:szCs w:val="24"/>
        </w:rPr>
        <w:t>The statutory power to pay for the provision of goods or services applies in addition to any other power that the charity might have to make such a payment. Charities can therefore choose whether to use the statutory power to make the payment or an express power (if available) in the charity’s governing document.</w:t>
      </w:r>
    </w:p>
    <w:p w14:paraId="09E20B2E"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p>
    <w:p w14:paraId="3FD38A4D"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The statutory power cannot be used to authorise payments for serving as trustee or to authorise payments related to the contracted employment of a trustee. </w:t>
      </w:r>
    </w:p>
    <w:p w14:paraId="316D745B"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Section E of </w:t>
      </w:r>
      <w:hyperlink r:id="rId11" w:tgtFrame="_blank" w:tooltip="CC11" w:history="1">
        <w:r w:rsidRPr="00343DAF">
          <w:rPr>
            <w:rFonts w:eastAsia="Times New Roman" w:cs="Arial"/>
            <w:color w:val="323298"/>
            <w:szCs w:val="24"/>
            <w:u w:val="single"/>
            <w:lang w:eastAsia="en-GB"/>
          </w:rPr>
          <w:t>CC11</w:t>
        </w:r>
      </w:hyperlink>
      <w:r w:rsidRPr="00343DAF">
        <w:rPr>
          <w:rFonts w:eastAsia="Times New Roman" w:cs="Arial"/>
          <w:color w:val="262626"/>
          <w:szCs w:val="24"/>
          <w:lang w:eastAsia="en-GB"/>
        </w:rPr>
        <w:t xml:space="preserve"> deals specifically with paying trustees for providing goods and/or services to a charity and sets out our approach to these cases. This section of CC11 is our published guidance concerning the use of the statutory power and it is this guidance that trustees must </w:t>
      </w:r>
      <w:r w:rsidRPr="00343DAF">
        <w:rPr>
          <w:rFonts w:eastAsia="Times New Roman" w:cs="Arial"/>
          <w:color w:val="262626"/>
          <w:szCs w:val="24"/>
          <w:lang w:eastAsia="en-GB"/>
        </w:rPr>
        <w:lastRenderedPageBreak/>
        <w:t xml:space="preserve">'have regard to' when considering making payments under the statutory power, as required by s185(4). </w:t>
      </w:r>
    </w:p>
    <w:p w14:paraId="4F158C5E"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If the statutory power is used correctly, and in accordance with our published guidance, qualifying payments can be made without referring to us. Our regulatory role in the context of s185 is simply to: </w:t>
      </w:r>
    </w:p>
    <w:p w14:paraId="08B6CCAA" w14:textId="77777777" w:rsidR="009F57C4" w:rsidRPr="00343DAF" w:rsidRDefault="009F57C4">
      <w:pPr>
        <w:numPr>
          <w:ilvl w:val="0"/>
          <w:numId w:val="1"/>
        </w:numPr>
        <w:spacing w:before="100" w:beforeAutospacing="1" w:after="100" w:afterAutospacing="1" w:line="276" w:lineRule="auto"/>
        <w:contextualSpacing/>
        <w:rPr>
          <w:rFonts w:eastAsia="Times New Roman" w:cs="Arial"/>
          <w:color w:val="262626"/>
          <w:szCs w:val="24"/>
          <w:lang w:eastAsia="en-GB"/>
        </w:rPr>
      </w:pPr>
      <w:r w:rsidRPr="00343DAF">
        <w:rPr>
          <w:rFonts w:eastAsia="Times New Roman" w:cs="Arial"/>
          <w:color w:val="262626"/>
          <w:szCs w:val="24"/>
          <w:lang w:eastAsia="en-GB"/>
        </w:rPr>
        <w:t>publish guidance for trustees as required by s185(4)</w:t>
      </w:r>
    </w:p>
    <w:p w14:paraId="67D6596A" w14:textId="77777777" w:rsidR="009F57C4" w:rsidRPr="00343DAF" w:rsidRDefault="009F57C4">
      <w:pPr>
        <w:numPr>
          <w:ilvl w:val="0"/>
          <w:numId w:val="1"/>
        </w:numPr>
        <w:spacing w:before="100" w:beforeAutospacing="1" w:after="100" w:afterAutospacing="1" w:line="276" w:lineRule="auto"/>
        <w:contextualSpacing/>
        <w:rPr>
          <w:rFonts w:eastAsia="Times New Roman" w:cs="Arial"/>
          <w:color w:val="262626"/>
          <w:szCs w:val="24"/>
          <w:lang w:eastAsia="en-GB"/>
        </w:rPr>
      </w:pPr>
      <w:r w:rsidRPr="00343DAF">
        <w:rPr>
          <w:rFonts w:eastAsia="Times New Roman" w:cs="Arial"/>
          <w:color w:val="262626"/>
          <w:szCs w:val="24"/>
          <w:lang w:eastAsia="en-GB"/>
        </w:rPr>
        <w:t>take appropriate action where the power has been misused.</w:t>
      </w:r>
    </w:p>
    <w:p w14:paraId="25313889" w14:textId="77777777" w:rsidR="009F57C4" w:rsidRPr="00343DAF" w:rsidRDefault="009F57C4" w:rsidP="009F57C4">
      <w:pPr>
        <w:spacing w:before="100" w:beforeAutospacing="1" w:after="100" w:afterAutospacing="1" w:line="276" w:lineRule="auto"/>
        <w:outlineLvl w:val="0"/>
        <w:rPr>
          <w:rFonts w:eastAsia="Times New Roman" w:cs="Arial"/>
          <w:b/>
          <w:bCs/>
          <w:kern w:val="36"/>
          <w:sz w:val="40"/>
          <w:szCs w:val="32"/>
          <w:lang w:eastAsia="en-GB"/>
        </w:rPr>
      </w:pPr>
      <w:bookmarkStart w:id="3" w:name="_Toc161843705"/>
      <w:r w:rsidRPr="00343DAF">
        <w:rPr>
          <w:rFonts w:eastAsia="Times New Roman" w:cs="Arial"/>
          <w:b/>
          <w:bCs/>
          <w:kern w:val="36"/>
          <w:sz w:val="40"/>
          <w:szCs w:val="32"/>
          <w:lang w:eastAsia="en-GB"/>
        </w:rPr>
        <w:t>Summary of the guidance</w:t>
      </w:r>
      <w:bookmarkEnd w:id="3"/>
    </w:p>
    <w:p w14:paraId="6C52B15D"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This guidance includes three sections in the </w:t>
      </w:r>
      <w:r w:rsidRPr="00343DAF">
        <w:rPr>
          <w:rFonts w:eastAsia="Times New Roman" w:cs="Arial"/>
          <w:color w:val="000000" w:themeColor="text1"/>
          <w:szCs w:val="24"/>
          <w:u w:val="single"/>
          <w:lang w:eastAsia="en-GB"/>
        </w:rPr>
        <w:t>Casework Guidance</w:t>
      </w:r>
      <w:r w:rsidRPr="00343DAF">
        <w:rPr>
          <w:rFonts w:eastAsia="Times New Roman" w:cs="Arial"/>
          <w:color w:val="000000" w:themeColor="text1"/>
          <w:szCs w:val="24"/>
          <w:lang w:eastAsia="en-GB"/>
        </w:rPr>
        <w:t> section</w:t>
      </w:r>
      <w:r w:rsidRPr="00343DAF">
        <w:rPr>
          <w:rFonts w:eastAsia="Times New Roman" w:cs="Arial"/>
          <w:color w:val="262626"/>
          <w:szCs w:val="24"/>
          <w:lang w:eastAsia="en-GB"/>
        </w:rPr>
        <w:t xml:space="preserve"> but its primary purpose is to set out </w:t>
      </w:r>
      <w:r w:rsidRPr="00343DAF">
        <w:rPr>
          <w:rFonts w:eastAsia="Times New Roman" w:cs="Arial"/>
          <w:color w:val="000000" w:themeColor="text1"/>
          <w:szCs w:val="24"/>
          <w:u w:val="single"/>
          <w:lang w:eastAsia="en-GB"/>
        </w:rPr>
        <w:t>Q&amp;As</w:t>
      </w:r>
      <w:r w:rsidRPr="00343DAF">
        <w:rPr>
          <w:rFonts w:eastAsia="Times New Roman" w:cs="Arial"/>
          <w:color w:val="262626"/>
          <w:szCs w:val="24"/>
          <w:lang w:eastAsia="en-GB"/>
        </w:rPr>
        <w:t xml:space="preserve"> for staff regarding the statutory power. These Q&amp;As deal with points of policy and law additional to those that are set out in CC11. </w:t>
      </w:r>
    </w:p>
    <w:p w14:paraId="3B6B3592"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We have no role with trustees where the statutory power applies but we do need to be familiar with the scope of the power. This is because we need to be able to decide if any particular payments fall outside of the scope of the power. If this is the case, we must decide if we can authorise ongoing payments or if we should consider using our regulatory powers, where the power has been misused recklessly or deliberately to benefit the trustee rather than the charity. </w:t>
      </w:r>
    </w:p>
    <w:p w14:paraId="1AF2F463" w14:textId="77777777" w:rsidR="009F57C4" w:rsidRPr="00343DAF" w:rsidRDefault="009F57C4" w:rsidP="009F57C4">
      <w:pPr>
        <w:shd w:val="clear" w:color="auto" w:fill="FFFFFF"/>
        <w:spacing w:after="0" w:line="276" w:lineRule="auto"/>
        <w:rPr>
          <w:rFonts w:eastAsia="Times New Roman" w:cs="Arial"/>
          <w:color w:val="262626"/>
          <w:szCs w:val="24"/>
          <w:lang w:eastAsia="en-GB"/>
        </w:rPr>
      </w:pPr>
      <w:r w:rsidRPr="00343DAF">
        <w:rPr>
          <w:rFonts w:eastAsia="Times New Roman" w:cs="Arial"/>
          <w:color w:val="262626"/>
          <w:szCs w:val="24"/>
          <w:lang w:eastAsia="en-GB"/>
        </w:rPr>
        <w:t>Within this guidance, where we refer to payments made to a trustee, this includes any payment, or other benefit, made to a trustee or to a person connected to a trustee.</w:t>
      </w:r>
    </w:p>
    <w:p w14:paraId="75964557" w14:textId="77777777" w:rsidR="009F57C4" w:rsidRPr="00343DAF" w:rsidRDefault="009F57C4" w:rsidP="009F57C4">
      <w:pPr>
        <w:spacing w:line="276" w:lineRule="auto"/>
        <w:rPr>
          <w:rFonts w:cs="Arial"/>
          <w:szCs w:val="24"/>
        </w:rPr>
      </w:pPr>
    </w:p>
    <w:p w14:paraId="20EF1078" w14:textId="77777777" w:rsidR="009F57C4" w:rsidRPr="00343DAF" w:rsidRDefault="009F57C4" w:rsidP="009F57C4">
      <w:pPr>
        <w:spacing w:before="100" w:beforeAutospacing="1" w:after="100" w:afterAutospacing="1" w:line="276" w:lineRule="auto"/>
        <w:outlineLvl w:val="0"/>
        <w:rPr>
          <w:rFonts w:eastAsia="Times New Roman" w:cs="Arial"/>
          <w:b/>
          <w:bCs/>
          <w:kern w:val="36"/>
          <w:sz w:val="40"/>
          <w:szCs w:val="32"/>
          <w:lang w:eastAsia="en-GB"/>
        </w:rPr>
      </w:pPr>
      <w:bookmarkStart w:id="4" w:name="_Toc161843706"/>
      <w:r w:rsidRPr="00343DAF">
        <w:rPr>
          <w:rFonts w:eastAsia="Times New Roman" w:cs="Arial"/>
          <w:b/>
          <w:bCs/>
          <w:kern w:val="36"/>
          <w:sz w:val="40"/>
          <w:szCs w:val="32"/>
          <w:lang w:eastAsia="en-GB"/>
        </w:rPr>
        <w:t>Casework Guidance</w:t>
      </w:r>
      <w:bookmarkEnd w:id="4"/>
      <w:r w:rsidRPr="00343DAF">
        <w:rPr>
          <w:rFonts w:eastAsia="Times New Roman" w:cs="Arial"/>
          <w:b/>
          <w:bCs/>
          <w:kern w:val="36"/>
          <w:sz w:val="40"/>
          <w:szCs w:val="32"/>
          <w:lang w:eastAsia="en-GB"/>
        </w:rPr>
        <w:t xml:space="preserve"> </w:t>
      </w:r>
    </w:p>
    <w:p w14:paraId="0E579ACC"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5" w:name="_Toc161843707"/>
      <w:r w:rsidRPr="00343DAF">
        <w:rPr>
          <w:rFonts w:eastAsia="Times New Roman" w:cstheme="majorBidi"/>
          <w:b/>
          <w:color w:val="000000" w:themeColor="text1"/>
          <w:sz w:val="32"/>
          <w:szCs w:val="24"/>
          <w:lang w:eastAsia="en-GB"/>
        </w:rPr>
        <w:t>B1. What to do where we are asked to advise regarding the statutory power</w:t>
      </w:r>
      <w:bookmarkEnd w:id="5"/>
      <w:r w:rsidRPr="00343DAF">
        <w:rPr>
          <w:rFonts w:eastAsia="Times New Roman" w:cstheme="majorBidi"/>
          <w:b/>
          <w:color w:val="000000" w:themeColor="text1"/>
          <w:sz w:val="32"/>
          <w:szCs w:val="24"/>
          <w:lang w:eastAsia="en-GB"/>
        </w:rPr>
        <w:t xml:space="preserve"> </w:t>
      </w:r>
    </w:p>
    <w:p w14:paraId="51DA375C"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If we are asked to advise regarding the statutory power we should signpost the enquirer to our </w:t>
      </w:r>
      <w:hyperlink r:id="rId12" w:tgtFrame="_blank" w:tooltip="Trustee payments" w:history="1">
        <w:r w:rsidRPr="00343DAF">
          <w:rPr>
            <w:rFonts w:eastAsia="Times New Roman" w:cs="Arial"/>
            <w:color w:val="323298"/>
            <w:szCs w:val="24"/>
            <w:u w:val="single"/>
            <w:lang w:eastAsia="en-GB"/>
          </w:rPr>
          <w:t>web guidance</w:t>
        </w:r>
      </w:hyperlink>
      <w:r w:rsidRPr="00343DAF">
        <w:rPr>
          <w:rFonts w:eastAsia="Times New Roman" w:cs="Arial"/>
          <w:color w:val="262626"/>
          <w:szCs w:val="24"/>
          <w:lang w:eastAsia="en-GB"/>
        </w:rPr>
        <w:t xml:space="preserve"> and to section E of </w:t>
      </w:r>
      <w:hyperlink r:id="rId13" w:tgtFrame="_blank" w:tooltip="CC11" w:history="1">
        <w:r w:rsidRPr="00343DAF">
          <w:rPr>
            <w:rFonts w:eastAsia="Times New Roman" w:cs="Arial"/>
            <w:color w:val="323298"/>
            <w:szCs w:val="24"/>
            <w:u w:val="single"/>
            <w:lang w:eastAsia="en-GB"/>
          </w:rPr>
          <w:t>CC11</w:t>
        </w:r>
      </w:hyperlink>
      <w:r w:rsidRPr="00343DAF">
        <w:rPr>
          <w:rFonts w:eastAsia="Times New Roman" w:cs="Arial"/>
          <w:color w:val="262626"/>
          <w:szCs w:val="24"/>
          <w:lang w:eastAsia="en-GB"/>
        </w:rPr>
        <w:t>. This will give trustees all of the information they need to decide if the proposed payment falls under the statutory power and, if so, how to use this. We should also refer the enquirer to the </w:t>
      </w:r>
      <w:hyperlink r:id="rId14" w:history="1">
        <w:r w:rsidRPr="00343DAF">
          <w:rPr>
            <w:rFonts w:eastAsia="Times New Roman" w:cs="Arial"/>
            <w:color w:val="0000FF"/>
            <w:szCs w:val="24"/>
            <w:u w:val="single"/>
            <w:lang w:eastAsia="en-GB"/>
          </w:rPr>
          <w:t>trustee payment application form</w:t>
        </w:r>
      </w:hyperlink>
      <w:r w:rsidRPr="00343DAF">
        <w:rPr>
          <w:rFonts w:eastAsia="Times New Roman" w:cs="Arial"/>
          <w:color w:val="262626"/>
          <w:szCs w:val="24"/>
          <w:lang w:eastAsia="en-GB"/>
        </w:rPr>
        <w:t xml:space="preserve"> that will help to decide if the statutory power can be used. If the statutory power applies, the online form allows a user </w:t>
      </w:r>
      <w:r w:rsidRPr="00343DAF">
        <w:rPr>
          <w:rFonts w:eastAsia="Times New Roman" w:cs="Arial"/>
          <w:color w:val="262626"/>
          <w:szCs w:val="24"/>
          <w:lang w:eastAsia="en-GB"/>
        </w:rPr>
        <w:lastRenderedPageBreak/>
        <w:t xml:space="preserve">to create and save a certificate stating that the proposed payment falls within the scope of the power. </w:t>
      </w:r>
    </w:p>
    <w:p w14:paraId="3B8AA78D" w14:textId="77777777" w:rsidR="009F57C4" w:rsidRPr="00343DAF" w:rsidRDefault="009F57C4" w:rsidP="009F57C4">
      <w:pPr>
        <w:spacing w:after="0" w:line="276" w:lineRule="auto"/>
        <w:rPr>
          <w:rFonts w:eastAsia="Times New Roman" w:cs="Arial"/>
          <w:color w:val="262626"/>
          <w:szCs w:val="24"/>
          <w:lang w:eastAsia="en-GB"/>
        </w:rPr>
      </w:pPr>
    </w:p>
    <w:p w14:paraId="514AB1F9"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6" w:name="_Toc161843708"/>
      <w:r w:rsidRPr="00343DAF">
        <w:rPr>
          <w:rFonts w:eastAsia="Times New Roman" w:cstheme="majorBidi"/>
          <w:b/>
          <w:color w:val="000000" w:themeColor="text1"/>
          <w:sz w:val="32"/>
          <w:szCs w:val="24"/>
          <w:lang w:eastAsia="en-GB"/>
        </w:rPr>
        <w:t>B2 What if the payment cannot be made using the statutory power?</w:t>
      </w:r>
      <w:bookmarkEnd w:id="6"/>
      <w:r w:rsidRPr="00343DAF">
        <w:rPr>
          <w:rFonts w:eastAsia="Times New Roman" w:cstheme="majorBidi"/>
          <w:b/>
          <w:color w:val="000000" w:themeColor="text1"/>
          <w:sz w:val="32"/>
          <w:szCs w:val="24"/>
          <w:lang w:eastAsia="en-GB"/>
        </w:rPr>
        <w:t xml:space="preserve">  </w:t>
      </w:r>
    </w:p>
    <w:p w14:paraId="399A90EC"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If the proposed payment cannot be made using the statutory power (see </w:t>
      </w:r>
      <w:r w:rsidRPr="00343DAF">
        <w:rPr>
          <w:rFonts w:eastAsia="Times New Roman" w:cs="Arial"/>
          <w:szCs w:val="24"/>
          <w:lang w:eastAsia="en-GB"/>
        </w:rPr>
        <w:t>F3</w:t>
      </w:r>
      <w:r w:rsidRPr="00343DAF">
        <w:rPr>
          <w:rFonts w:eastAsia="Times New Roman" w:cs="Arial"/>
          <w:color w:val="262626"/>
          <w:szCs w:val="24"/>
          <w:lang w:eastAsia="en-GB"/>
        </w:rPr>
        <w:t xml:space="preserve">) then the trustees will need to seek authority before making the payment. In this case we expect the trustees to complete the </w:t>
      </w:r>
      <w:hyperlink r:id="rId15" w:history="1">
        <w:r w:rsidRPr="00343DAF">
          <w:rPr>
            <w:rFonts w:eastAsia="Times New Roman" w:cs="Arial"/>
            <w:color w:val="0000FF"/>
            <w:szCs w:val="24"/>
            <w:u w:val="single"/>
            <w:lang w:eastAsia="en-GB"/>
          </w:rPr>
          <w:t>online application form</w:t>
        </w:r>
      </w:hyperlink>
      <w:r w:rsidRPr="00343DAF">
        <w:rPr>
          <w:rFonts w:eastAsia="Times New Roman" w:cs="Arial"/>
          <w:color w:val="262626"/>
          <w:szCs w:val="24"/>
          <w:lang w:eastAsia="en-GB"/>
        </w:rPr>
        <w:t xml:space="preserve">. When we receive a completed application form, we will consider this using the appropriate guidance from the OG515 series. </w:t>
      </w:r>
    </w:p>
    <w:p w14:paraId="79B6840C" w14:textId="77777777" w:rsidR="009F57C4" w:rsidRPr="00343DAF" w:rsidRDefault="009F57C4" w:rsidP="009F57C4">
      <w:pPr>
        <w:spacing w:after="0" w:line="276" w:lineRule="auto"/>
        <w:rPr>
          <w:rFonts w:eastAsia="Times New Roman" w:cs="Arial"/>
          <w:color w:val="262626"/>
          <w:szCs w:val="24"/>
          <w:lang w:eastAsia="en-GB"/>
        </w:rPr>
      </w:pPr>
    </w:p>
    <w:p w14:paraId="69F4CA26"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7" w:name="_Toc161843709"/>
      <w:r w:rsidRPr="00343DAF">
        <w:rPr>
          <w:rFonts w:eastAsia="Times New Roman" w:cstheme="majorBidi"/>
          <w:b/>
          <w:color w:val="000000" w:themeColor="text1"/>
          <w:sz w:val="32"/>
          <w:szCs w:val="24"/>
          <w:lang w:eastAsia="en-GB"/>
        </w:rPr>
        <w:t>B3 What should we do if the statutory power is misused?</w:t>
      </w:r>
      <w:bookmarkEnd w:id="7"/>
      <w:r w:rsidRPr="00343DAF">
        <w:rPr>
          <w:rFonts w:eastAsia="Times New Roman" w:cstheme="majorBidi"/>
          <w:b/>
          <w:color w:val="000000" w:themeColor="text1"/>
          <w:sz w:val="32"/>
          <w:szCs w:val="24"/>
          <w:lang w:eastAsia="en-GB"/>
        </w:rPr>
        <w:t xml:space="preserve"> </w:t>
      </w:r>
    </w:p>
    <w:p w14:paraId="6EFC1581" w14:textId="77777777" w:rsidR="009F57C4" w:rsidRPr="00343DAF" w:rsidRDefault="009F57C4" w:rsidP="009F57C4"/>
    <w:p w14:paraId="57D1DFD0"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we come across a case where the statutory power appears to have been misused, because payments have been made outside of the terms of the statutory power, we need to consider what further action might be appropriate. Broadly, we need to decide if making the payments outside of the power was a decision that was taken by the trustees recklessly, or deliberately to benefit the trustee rather than the charity, or if making the payments without authority was genuinely an error. </w:t>
      </w:r>
    </w:p>
    <w:p w14:paraId="29840269" w14:textId="4BE3380E"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themeColor="text1" w:themeTint="D9"/>
          <w:szCs w:val="24"/>
          <w:lang w:eastAsia="en-GB"/>
        </w:rPr>
        <w:t>To help to decide what action might be appropriate we will consider the case against our </w:t>
      </w:r>
      <w:bookmarkStart w:id="8" w:name="_Hlk200533946"/>
      <w:r w:rsidR="009E00AA">
        <w:rPr>
          <w:rFonts w:ascii="Times New Roman" w:hAnsi="Times New Roman" w:cs="Times New Roman"/>
          <w:lang w:eastAsia="en-GB"/>
        </w:rPr>
        <w:fldChar w:fldCharType="begin"/>
      </w:r>
      <w:r w:rsidR="009E00AA">
        <w:rPr>
          <w:rFonts w:ascii="Times New Roman" w:hAnsi="Times New Roman" w:cs="Times New Roman"/>
          <w:lang w:eastAsia="en-GB"/>
        </w:rPr>
        <w:instrText>HYPERLINK "https://www.gov.uk/government/publications/complaints-about-charities"</w:instrText>
      </w:r>
      <w:r w:rsidR="009E00AA">
        <w:rPr>
          <w:rFonts w:ascii="Times New Roman" w:hAnsi="Times New Roman" w:cs="Times New Roman"/>
          <w:lang w:eastAsia="en-GB"/>
        </w:rPr>
      </w:r>
      <w:r w:rsidR="009E00AA">
        <w:rPr>
          <w:rFonts w:ascii="Times New Roman" w:hAnsi="Times New Roman" w:cs="Times New Roman"/>
          <w:lang w:eastAsia="en-GB"/>
        </w:rPr>
        <w:fldChar w:fldCharType="separate"/>
      </w:r>
      <w:r w:rsidR="009E00AA">
        <w:rPr>
          <w:rStyle w:val="Hyperlink"/>
          <w:rFonts w:cs="Arial"/>
          <w:shd w:val="clear" w:color="auto" w:fill="FFFFFF"/>
        </w:rPr>
        <w:t>guidance on </w:t>
      </w:r>
      <w:r w:rsidR="009E00AA">
        <w:rPr>
          <w:rStyle w:val="Hyperlink"/>
          <w:rFonts w:cs="Arial"/>
          <w:lang w:val="en"/>
        </w:rPr>
        <w:t>Raising a concern with the Charity Commission</w:t>
      </w:r>
      <w:bookmarkEnd w:id="8"/>
      <w:r w:rsidR="009E00AA">
        <w:rPr>
          <w:rFonts w:ascii="Times New Roman" w:hAnsi="Times New Roman" w:cs="Times New Roman"/>
          <w:lang w:eastAsia="en-GB"/>
        </w:rPr>
        <w:fldChar w:fldCharType="end"/>
      </w:r>
      <w:r w:rsidRPr="00343DAF">
        <w:rPr>
          <w:rFonts w:eastAsia="Times New Roman" w:cs="Arial"/>
          <w:color w:val="262626" w:themeColor="text1" w:themeTint="D9"/>
          <w:szCs w:val="24"/>
          <w:lang w:eastAsia="en-GB"/>
        </w:rPr>
        <w:t xml:space="preserve"> and consult </w:t>
      </w:r>
      <w:r w:rsidRPr="00343DAF">
        <w:rPr>
          <w:rFonts w:eastAsia="Times New Roman" w:cs="Arial"/>
          <w:color w:val="0000FF"/>
          <w:szCs w:val="24"/>
          <w:u w:val="single"/>
          <w:lang w:eastAsia="en-GB"/>
        </w:rPr>
        <w:t>OG515-3</w:t>
      </w:r>
      <w:r w:rsidRPr="00343DAF">
        <w:rPr>
          <w:rFonts w:eastAsia="Times New Roman" w:cs="Arial"/>
          <w:szCs w:val="24"/>
          <w:lang w:eastAsia="en-GB"/>
        </w:rPr>
        <w:t xml:space="preserve"> Unauthorised trustee payments</w:t>
      </w:r>
      <w:r w:rsidRPr="00343DAF">
        <w:rPr>
          <w:rFonts w:eastAsia="Times New Roman" w:cs="Arial"/>
          <w:color w:val="262626" w:themeColor="text1" w:themeTint="D9"/>
          <w:szCs w:val="24"/>
          <w:lang w:eastAsia="en-GB"/>
        </w:rPr>
        <w:t xml:space="preserve">.  </w:t>
      </w:r>
    </w:p>
    <w:p w14:paraId="485D3370" w14:textId="77777777" w:rsidR="009F57C4" w:rsidRPr="00343DAF" w:rsidRDefault="009F57C4" w:rsidP="009F57C4">
      <w:pPr>
        <w:spacing w:line="276" w:lineRule="auto"/>
        <w:rPr>
          <w:rFonts w:cs="Arial"/>
          <w:szCs w:val="24"/>
        </w:rPr>
      </w:pPr>
    </w:p>
    <w:p w14:paraId="3A8B197E" w14:textId="77777777" w:rsidR="009F57C4" w:rsidRPr="00343DAF" w:rsidRDefault="009F57C4" w:rsidP="009F57C4">
      <w:pPr>
        <w:spacing w:before="100" w:beforeAutospacing="1" w:after="100" w:afterAutospacing="1" w:line="276" w:lineRule="auto"/>
        <w:outlineLvl w:val="0"/>
        <w:rPr>
          <w:rFonts w:eastAsia="Times New Roman" w:cs="Arial"/>
          <w:b/>
          <w:bCs/>
          <w:kern w:val="36"/>
          <w:sz w:val="40"/>
          <w:szCs w:val="32"/>
          <w:lang w:eastAsia="en-GB"/>
        </w:rPr>
      </w:pPr>
      <w:bookmarkStart w:id="9" w:name="_Toc161843710"/>
      <w:r w:rsidRPr="00343DAF">
        <w:rPr>
          <w:rFonts w:eastAsia="Times New Roman" w:cs="Arial"/>
          <w:b/>
          <w:bCs/>
          <w:kern w:val="36"/>
          <w:sz w:val="40"/>
          <w:szCs w:val="32"/>
          <w:lang w:eastAsia="en-GB"/>
        </w:rPr>
        <w:t>Legal/Policy Framework</w:t>
      </w:r>
      <w:bookmarkEnd w:id="9"/>
      <w:r w:rsidRPr="00343DAF">
        <w:rPr>
          <w:rFonts w:eastAsia="Times New Roman" w:cs="Arial"/>
          <w:b/>
          <w:bCs/>
          <w:kern w:val="36"/>
          <w:sz w:val="40"/>
          <w:szCs w:val="32"/>
          <w:lang w:eastAsia="en-GB"/>
        </w:rPr>
        <w:t xml:space="preserve"> </w:t>
      </w:r>
    </w:p>
    <w:p w14:paraId="055DCD65" w14:textId="77777777" w:rsidR="009F57C4" w:rsidRPr="00343DAF" w:rsidRDefault="009F57C4" w:rsidP="009F57C4">
      <w:pPr>
        <w:spacing w:after="0" w:line="276" w:lineRule="auto"/>
        <w:outlineLvl w:val="1"/>
        <w:rPr>
          <w:rFonts w:eastAsia="Times New Roman" w:cs="Arial"/>
          <w:b/>
          <w:bCs/>
          <w:color w:val="000000"/>
          <w:sz w:val="24"/>
          <w:szCs w:val="24"/>
          <w:lang w:eastAsia="en-GB"/>
        </w:rPr>
      </w:pPr>
      <w:bookmarkStart w:id="10" w:name="_Toc161843711"/>
      <w:r w:rsidRPr="00343DAF">
        <w:rPr>
          <w:rFonts w:eastAsia="Times New Roman" w:cs="Arial"/>
          <w:b/>
          <w:bCs/>
          <w:color w:val="000000"/>
          <w:sz w:val="24"/>
          <w:szCs w:val="24"/>
          <w:lang w:eastAsia="en-GB"/>
        </w:rPr>
        <w:t>Legal background</w:t>
      </w:r>
      <w:bookmarkEnd w:id="10"/>
      <w:r w:rsidRPr="00343DAF">
        <w:rPr>
          <w:rFonts w:eastAsia="Times New Roman" w:cs="Arial"/>
          <w:b/>
          <w:bCs/>
          <w:color w:val="000000"/>
          <w:sz w:val="24"/>
          <w:szCs w:val="24"/>
          <w:lang w:eastAsia="en-GB"/>
        </w:rPr>
        <w:t xml:space="preserve">   </w:t>
      </w:r>
    </w:p>
    <w:p w14:paraId="7A9D4E44"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11" w:name="_Toc161843712"/>
      <w:r w:rsidRPr="00343DAF">
        <w:rPr>
          <w:rFonts w:eastAsia="Times New Roman" w:cstheme="majorBidi"/>
          <w:b/>
          <w:color w:val="000000" w:themeColor="text1"/>
          <w:sz w:val="32"/>
          <w:szCs w:val="24"/>
          <w:lang w:eastAsia="en-GB"/>
        </w:rPr>
        <w:t>Section 185 of the Charities Act</w:t>
      </w:r>
      <w:bookmarkEnd w:id="11"/>
      <w:r w:rsidRPr="00343DAF">
        <w:rPr>
          <w:rFonts w:eastAsia="Times New Roman" w:cstheme="majorBidi"/>
          <w:b/>
          <w:color w:val="000000" w:themeColor="text1"/>
          <w:sz w:val="32"/>
          <w:szCs w:val="24"/>
          <w:lang w:eastAsia="en-GB"/>
        </w:rPr>
        <w:t xml:space="preserve"> </w:t>
      </w:r>
    </w:p>
    <w:p w14:paraId="7FD077D7"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Section 185 gives a power to pay trustees, or persons connected to trustees, for the provision of goods and/or services to the charity. This also covers payments made for goods supplied in connection with the provision of a service. Trustees can only rely on the statutory power if they can fulfil certain conditions:   </w:t>
      </w:r>
    </w:p>
    <w:p w14:paraId="7B927E18"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b/>
          <w:bCs/>
          <w:color w:val="262626"/>
          <w:szCs w:val="24"/>
          <w:lang w:eastAsia="en-GB"/>
        </w:rPr>
        <w:t>Condition A</w:t>
      </w:r>
      <w:r w:rsidRPr="00343DAF">
        <w:rPr>
          <w:rFonts w:eastAsia="Times New Roman" w:cs="Arial"/>
          <w:color w:val="262626"/>
          <w:szCs w:val="24"/>
          <w:lang w:eastAsia="en-GB"/>
        </w:rPr>
        <w:t xml:space="preserve"> </w:t>
      </w:r>
    </w:p>
    <w:p w14:paraId="3DFC5CD3" w14:textId="77777777" w:rsidR="009F57C4" w:rsidRPr="00343DAF" w:rsidRDefault="009F57C4">
      <w:pPr>
        <w:numPr>
          <w:ilvl w:val="0"/>
          <w:numId w:val="2"/>
        </w:numPr>
        <w:spacing w:before="100" w:beforeAutospacing="1" w:after="100" w:afterAutospacing="1" w:line="276" w:lineRule="auto"/>
        <w:contextualSpacing/>
        <w:rPr>
          <w:rFonts w:cs="Arial"/>
          <w:color w:val="262626"/>
          <w:szCs w:val="24"/>
        </w:rPr>
      </w:pPr>
      <w:r w:rsidRPr="00343DAF">
        <w:rPr>
          <w:rFonts w:cs="Arial"/>
          <w:color w:val="262626"/>
          <w:szCs w:val="24"/>
        </w:rPr>
        <w:lastRenderedPageBreak/>
        <w:t>the exact or maximum amount to be paid is set out in a written agreement between the charity and the trustee or connected person; and</w:t>
      </w:r>
    </w:p>
    <w:p w14:paraId="1581D91B" w14:textId="77777777" w:rsidR="009F57C4" w:rsidRPr="00343DAF" w:rsidRDefault="009F57C4">
      <w:pPr>
        <w:numPr>
          <w:ilvl w:val="0"/>
          <w:numId w:val="2"/>
        </w:numPr>
        <w:spacing w:before="100" w:beforeAutospacing="1" w:after="100" w:afterAutospacing="1" w:line="276" w:lineRule="auto"/>
        <w:contextualSpacing/>
        <w:rPr>
          <w:rFonts w:cs="Arial"/>
          <w:color w:val="262626"/>
          <w:szCs w:val="24"/>
        </w:rPr>
      </w:pPr>
      <w:r w:rsidRPr="00343DAF">
        <w:rPr>
          <w:rFonts w:cs="Arial"/>
          <w:color w:val="262626"/>
          <w:szCs w:val="24"/>
        </w:rPr>
        <w:t>the payment is reasonable in relation to the goods or services, or goods and services to be provided</w:t>
      </w:r>
    </w:p>
    <w:p w14:paraId="31729B1B"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b/>
          <w:bCs/>
          <w:color w:val="262626"/>
          <w:szCs w:val="24"/>
          <w:lang w:eastAsia="en-GB"/>
        </w:rPr>
        <w:t>Condition B</w:t>
      </w:r>
      <w:r w:rsidRPr="00343DAF">
        <w:rPr>
          <w:rFonts w:eastAsia="Times New Roman" w:cs="Arial"/>
          <w:color w:val="262626"/>
          <w:szCs w:val="24"/>
          <w:lang w:eastAsia="en-GB"/>
        </w:rPr>
        <w:t xml:space="preserve"> </w:t>
      </w:r>
    </w:p>
    <w:p w14:paraId="14B51A6D" w14:textId="77777777" w:rsidR="009F57C4" w:rsidRPr="00343DAF" w:rsidRDefault="009F57C4">
      <w:pPr>
        <w:numPr>
          <w:ilvl w:val="0"/>
          <w:numId w:val="3"/>
        </w:numPr>
        <w:spacing w:before="100" w:beforeAutospacing="1" w:after="100" w:afterAutospacing="1" w:line="276" w:lineRule="auto"/>
        <w:contextualSpacing/>
        <w:rPr>
          <w:rFonts w:cs="Arial"/>
          <w:color w:val="262626"/>
          <w:szCs w:val="24"/>
        </w:rPr>
      </w:pPr>
      <w:r w:rsidRPr="00343DAF">
        <w:rPr>
          <w:rFonts w:cs="Arial"/>
          <w:color w:val="262626"/>
          <w:szCs w:val="24"/>
        </w:rPr>
        <w:t>the trustees are satisfied that making the payment is in the best interests of the charity</w:t>
      </w:r>
    </w:p>
    <w:p w14:paraId="02C3833F"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b/>
          <w:bCs/>
          <w:color w:val="262626"/>
          <w:szCs w:val="24"/>
          <w:lang w:eastAsia="en-GB"/>
        </w:rPr>
        <w:t>Condition C</w:t>
      </w:r>
      <w:r w:rsidRPr="00343DAF">
        <w:rPr>
          <w:rFonts w:eastAsia="Times New Roman" w:cs="Arial"/>
          <w:color w:val="262626"/>
          <w:szCs w:val="24"/>
          <w:lang w:eastAsia="en-GB"/>
        </w:rPr>
        <w:t xml:space="preserve"> </w:t>
      </w:r>
    </w:p>
    <w:p w14:paraId="218EAB7B" w14:textId="77777777" w:rsidR="009F57C4" w:rsidRPr="00343DAF" w:rsidRDefault="009F57C4">
      <w:pPr>
        <w:numPr>
          <w:ilvl w:val="0"/>
          <w:numId w:val="4"/>
        </w:numPr>
        <w:spacing w:before="100" w:beforeAutospacing="1" w:after="100" w:afterAutospacing="1" w:line="276" w:lineRule="auto"/>
        <w:contextualSpacing/>
        <w:rPr>
          <w:rFonts w:cs="Arial"/>
          <w:color w:val="262626"/>
          <w:szCs w:val="24"/>
        </w:rPr>
      </w:pPr>
      <w:r w:rsidRPr="00343DAF">
        <w:rPr>
          <w:rFonts w:cs="Arial"/>
          <w:color w:val="262626"/>
          <w:szCs w:val="24"/>
        </w:rPr>
        <w:t>the total number of trustees who are receiving any payment, or who are connected to someone receiving any payment, are in a minority</w:t>
      </w:r>
    </w:p>
    <w:p w14:paraId="79554BE0"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b/>
          <w:bCs/>
          <w:color w:val="262626"/>
          <w:szCs w:val="24"/>
          <w:lang w:eastAsia="en-GB"/>
        </w:rPr>
        <w:t>Condition D</w:t>
      </w:r>
      <w:r w:rsidRPr="00343DAF">
        <w:rPr>
          <w:rFonts w:eastAsia="Times New Roman" w:cs="Arial"/>
          <w:color w:val="262626"/>
          <w:szCs w:val="24"/>
          <w:lang w:eastAsia="en-GB"/>
        </w:rPr>
        <w:t xml:space="preserve"> </w:t>
      </w:r>
    </w:p>
    <w:p w14:paraId="584CB813" w14:textId="77777777" w:rsidR="009F57C4" w:rsidRPr="00343DAF" w:rsidRDefault="009F57C4">
      <w:pPr>
        <w:numPr>
          <w:ilvl w:val="0"/>
          <w:numId w:val="5"/>
        </w:numPr>
        <w:spacing w:before="100" w:beforeAutospacing="1" w:after="100" w:afterAutospacing="1" w:line="276" w:lineRule="auto"/>
        <w:contextualSpacing/>
        <w:rPr>
          <w:rFonts w:cs="Arial"/>
          <w:color w:val="262626"/>
          <w:szCs w:val="24"/>
        </w:rPr>
      </w:pPr>
      <w:r w:rsidRPr="00343DAF">
        <w:rPr>
          <w:rFonts w:cs="Arial"/>
          <w:color w:val="262626"/>
          <w:szCs w:val="24"/>
        </w:rPr>
        <w:t>there is no express prohibition against the payment of a trustee in the charity’s governing document.</w:t>
      </w:r>
    </w:p>
    <w:p w14:paraId="123E99BB"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In addition to these four conditions, before entering into an agreement, s185 also states that the trustees must: </w:t>
      </w:r>
    </w:p>
    <w:p w14:paraId="069C52D5" w14:textId="77777777" w:rsidR="009F57C4" w:rsidRPr="00343DAF" w:rsidRDefault="009F57C4">
      <w:pPr>
        <w:numPr>
          <w:ilvl w:val="0"/>
          <w:numId w:val="6"/>
        </w:numPr>
        <w:spacing w:before="100" w:beforeAutospacing="1" w:after="100" w:afterAutospacing="1" w:line="276" w:lineRule="auto"/>
        <w:contextualSpacing/>
        <w:rPr>
          <w:rFonts w:cs="Arial"/>
          <w:color w:val="262626"/>
          <w:szCs w:val="24"/>
        </w:rPr>
      </w:pPr>
      <w:r w:rsidRPr="00343DAF">
        <w:rPr>
          <w:rFonts w:cs="Arial"/>
          <w:color w:val="262626"/>
          <w:szCs w:val="24"/>
        </w:rPr>
        <w:t>follow the 'duty of care' set out in the Trustee Act 2000; and</w:t>
      </w:r>
    </w:p>
    <w:p w14:paraId="36227C30" w14:textId="77777777" w:rsidR="009F57C4" w:rsidRPr="00343DAF" w:rsidRDefault="009F57C4">
      <w:pPr>
        <w:numPr>
          <w:ilvl w:val="0"/>
          <w:numId w:val="6"/>
        </w:numPr>
        <w:spacing w:before="100" w:beforeAutospacing="1" w:after="100" w:afterAutospacing="1" w:line="276" w:lineRule="auto"/>
        <w:contextualSpacing/>
        <w:rPr>
          <w:rFonts w:cs="Arial"/>
          <w:color w:val="262626"/>
          <w:szCs w:val="24"/>
        </w:rPr>
      </w:pPr>
      <w:r w:rsidRPr="00343DAF">
        <w:rPr>
          <w:rFonts w:cs="Arial"/>
          <w:color w:val="262626"/>
          <w:szCs w:val="24"/>
        </w:rPr>
        <w:t xml:space="preserve">'have regard to any guidance given by the Commission concerning the making of such agreements'. ‘Guidance’ in this context means section E of CC11. This means the trustees must be able to demonstrate that: </w:t>
      </w:r>
    </w:p>
    <w:p w14:paraId="640309DD" w14:textId="77777777" w:rsidR="009F57C4" w:rsidRPr="00343DAF" w:rsidRDefault="009F57C4">
      <w:pPr>
        <w:numPr>
          <w:ilvl w:val="0"/>
          <w:numId w:val="7"/>
        </w:numPr>
        <w:spacing w:before="100" w:beforeAutospacing="1" w:after="100" w:afterAutospacing="1" w:line="276" w:lineRule="auto"/>
        <w:contextualSpacing/>
        <w:rPr>
          <w:rFonts w:cs="Arial"/>
          <w:color w:val="262626"/>
          <w:szCs w:val="24"/>
        </w:rPr>
      </w:pPr>
      <w:r w:rsidRPr="00343DAF">
        <w:rPr>
          <w:rFonts w:cs="Arial"/>
          <w:color w:val="262626"/>
          <w:szCs w:val="24"/>
        </w:rPr>
        <w:t>they are aware of this guidance; and</w:t>
      </w:r>
    </w:p>
    <w:p w14:paraId="639E479D" w14:textId="77777777" w:rsidR="009F57C4" w:rsidRPr="00343DAF" w:rsidRDefault="009F57C4">
      <w:pPr>
        <w:numPr>
          <w:ilvl w:val="0"/>
          <w:numId w:val="7"/>
        </w:numPr>
        <w:spacing w:before="100" w:beforeAutospacing="1" w:after="100" w:afterAutospacing="1" w:line="276" w:lineRule="auto"/>
        <w:contextualSpacing/>
        <w:rPr>
          <w:rFonts w:cs="Arial"/>
          <w:color w:val="262626"/>
          <w:szCs w:val="24"/>
        </w:rPr>
      </w:pPr>
      <w:r w:rsidRPr="00343DAF">
        <w:rPr>
          <w:rFonts w:cs="Arial"/>
          <w:color w:val="262626"/>
          <w:szCs w:val="24"/>
        </w:rPr>
        <w:t>in making a decision where the guidance is relevant, they have taken it into account, if they have decided to depart from the guidance, they have a good reason for doing so.</w:t>
      </w:r>
    </w:p>
    <w:p w14:paraId="4A2E3431" w14:textId="77777777" w:rsidR="009F57C4" w:rsidRPr="00343DAF" w:rsidRDefault="009F57C4" w:rsidP="009F57C4">
      <w:pPr>
        <w:spacing w:after="0"/>
        <w:rPr>
          <w:rFonts w:cs="Arial"/>
          <w:color w:val="000000" w:themeColor="text1"/>
          <w:szCs w:val="24"/>
        </w:rPr>
      </w:pPr>
      <w:r w:rsidRPr="00343DAF">
        <w:rPr>
          <w:rFonts w:cs="Arial"/>
          <w:color w:val="000000" w:themeColor="text1"/>
          <w:szCs w:val="24"/>
        </w:rPr>
        <w:t xml:space="preserve">Section185(3A) provides that the statutory power applies in addition to any other power that the charity might have to </w:t>
      </w:r>
      <w:r w:rsidRPr="00343DAF">
        <w:rPr>
          <w:color w:val="000000" w:themeColor="text1"/>
        </w:rPr>
        <w:t>pay for the provision of goods and/or services</w:t>
      </w:r>
      <w:r w:rsidRPr="00343DAF">
        <w:rPr>
          <w:rFonts w:cs="Arial"/>
          <w:color w:val="000000" w:themeColor="text1"/>
          <w:szCs w:val="24"/>
        </w:rPr>
        <w:t>. Charities can therefore choose whether to use the statutory power to make the payment or any other power available to them - they are not prevented from using the statutory power simply because the payment could be made under an express provision in the charity’s governing document.</w:t>
      </w:r>
    </w:p>
    <w:p w14:paraId="699513B1"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  </w:t>
      </w:r>
    </w:p>
    <w:p w14:paraId="1721499E"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12" w:name="_Toc161843713"/>
      <w:r w:rsidRPr="00343DAF">
        <w:rPr>
          <w:rFonts w:eastAsia="Times New Roman" w:cstheme="majorBidi"/>
          <w:b/>
          <w:color w:val="000000" w:themeColor="text1"/>
          <w:sz w:val="32"/>
          <w:szCs w:val="24"/>
          <w:lang w:eastAsia="en-GB"/>
        </w:rPr>
        <w:t>Section 186 of the Charities Act</w:t>
      </w:r>
      <w:bookmarkEnd w:id="12"/>
      <w:r w:rsidRPr="00343DAF">
        <w:rPr>
          <w:rFonts w:eastAsia="Times New Roman" w:cstheme="majorBidi"/>
          <w:b/>
          <w:color w:val="000000" w:themeColor="text1"/>
          <w:sz w:val="32"/>
          <w:szCs w:val="24"/>
          <w:lang w:eastAsia="en-GB"/>
        </w:rPr>
        <w:t xml:space="preserve"> </w:t>
      </w:r>
    </w:p>
    <w:p w14:paraId="7311DD7B" w14:textId="77777777" w:rsidR="009F57C4" w:rsidRPr="00343DAF" w:rsidRDefault="009F57C4" w:rsidP="009F57C4"/>
    <w:p w14:paraId="0F6AA289"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lastRenderedPageBreak/>
        <w:t xml:space="preserve">Section 186 applies where trustees rely on the s185 power to pay trustees. this section states that: </w:t>
      </w:r>
    </w:p>
    <w:p w14:paraId="08EA1626" w14:textId="77777777" w:rsidR="009F57C4" w:rsidRPr="00343DAF" w:rsidRDefault="009F57C4">
      <w:pPr>
        <w:numPr>
          <w:ilvl w:val="0"/>
          <w:numId w:val="8"/>
        </w:numPr>
        <w:spacing w:before="100" w:beforeAutospacing="1" w:after="100" w:afterAutospacing="1" w:line="276" w:lineRule="auto"/>
        <w:contextualSpacing/>
        <w:rPr>
          <w:rFonts w:cs="Arial"/>
          <w:color w:val="262626"/>
          <w:szCs w:val="24"/>
        </w:rPr>
      </w:pPr>
      <w:r w:rsidRPr="00343DAF">
        <w:rPr>
          <w:rFonts w:cs="Arial"/>
          <w:color w:val="262626"/>
          <w:szCs w:val="24"/>
        </w:rPr>
        <w:t>a trustee who is paid under s185 is disqualified from acting in 'any decision or other matter connected with the agreement'</w:t>
      </w:r>
    </w:p>
    <w:p w14:paraId="17606202" w14:textId="77777777" w:rsidR="009F57C4" w:rsidRPr="00343DAF" w:rsidRDefault="009F57C4">
      <w:pPr>
        <w:numPr>
          <w:ilvl w:val="0"/>
          <w:numId w:val="8"/>
        </w:numPr>
        <w:spacing w:before="100" w:beforeAutospacing="1" w:after="100" w:afterAutospacing="1" w:line="276" w:lineRule="auto"/>
        <w:contextualSpacing/>
        <w:rPr>
          <w:rFonts w:cs="Arial"/>
          <w:color w:val="262626"/>
          <w:szCs w:val="24"/>
        </w:rPr>
      </w:pPr>
      <w:r w:rsidRPr="00343DAF">
        <w:rPr>
          <w:rFonts w:cs="Arial"/>
          <w:color w:val="262626"/>
          <w:szCs w:val="24"/>
        </w:rPr>
        <w:t>if a person does act while disqualified, the Commission can make an Order to require repayment of all or any part of the money paid out by the charity, or a sum equivalent to any payment 'in kind' (this Order can be appealed to the Charity Tribunal)</w:t>
      </w:r>
    </w:p>
    <w:p w14:paraId="679CB506" w14:textId="77777777" w:rsidR="009F57C4" w:rsidRPr="00343DAF" w:rsidRDefault="009F57C4">
      <w:pPr>
        <w:numPr>
          <w:ilvl w:val="0"/>
          <w:numId w:val="8"/>
        </w:numPr>
        <w:spacing w:before="100" w:beforeAutospacing="1" w:after="100" w:afterAutospacing="1" w:line="276" w:lineRule="auto"/>
        <w:contextualSpacing/>
        <w:rPr>
          <w:rFonts w:cs="Arial"/>
          <w:color w:val="262626"/>
          <w:szCs w:val="24"/>
        </w:rPr>
      </w:pPr>
      <w:r w:rsidRPr="00343DAF">
        <w:rPr>
          <w:rFonts w:cs="Arial"/>
          <w:color w:val="262626"/>
          <w:szCs w:val="24"/>
        </w:rPr>
        <w:t>the making of an Order to require repayment does not invalidate the acts undertaken on behalf of the charity as a result of making the payment.         </w:t>
      </w:r>
    </w:p>
    <w:p w14:paraId="01D9A045" w14:textId="77777777" w:rsidR="009F57C4" w:rsidRPr="00343DAF" w:rsidRDefault="009F57C4" w:rsidP="009F57C4">
      <w:pPr>
        <w:spacing w:after="0" w:line="276" w:lineRule="auto"/>
        <w:rPr>
          <w:rFonts w:eastAsia="Times New Roman" w:cs="Arial"/>
          <w:color w:val="262626"/>
          <w:szCs w:val="24"/>
          <w:lang w:eastAsia="en-GB"/>
        </w:rPr>
      </w:pPr>
    </w:p>
    <w:p w14:paraId="14E61890"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13" w:name="_Toc161843714"/>
      <w:r w:rsidRPr="00343DAF">
        <w:rPr>
          <w:rFonts w:eastAsia="Times New Roman" w:cstheme="majorBidi"/>
          <w:b/>
          <w:color w:val="000000" w:themeColor="text1"/>
          <w:sz w:val="32"/>
          <w:szCs w:val="24"/>
          <w:lang w:eastAsia="en-GB"/>
        </w:rPr>
        <w:t>Sections 187 &amp; 188 of the Charities Act</w:t>
      </w:r>
      <w:bookmarkEnd w:id="13"/>
      <w:r w:rsidRPr="00343DAF">
        <w:rPr>
          <w:rFonts w:eastAsia="Times New Roman" w:cstheme="majorBidi"/>
          <w:b/>
          <w:color w:val="000000" w:themeColor="text1"/>
          <w:sz w:val="32"/>
          <w:szCs w:val="24"/>
          <w:lang w:eastAsia="en-GB"/>
        </w:rPr>
        <w:t xml:space="preserve"> </w:t>
      </w:r>
    </w:p>
    <w:p w14:paraId="5A490735"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Section 187 defines, 'benefit', 'maximum amount', &amp; 'remuneration' &amp; 'services' for the purposes of s185, while s188 defines 'connected person'.</w:t>
      </w:r>
    </w:p>
    <w:p w14:paraId="3EA66441" w14:textId="77777777" w:rsidR="009F57C4" w:rsidRPr="00343DAF" w:rsidRDefault="009F57C4" w:rsidP="009F57C4">
      <w:pPr>
        <w:spacing w:line="276" w:lineRule="auto"/>
        <w:rPr>
          <w:rFonts w:cs="Arial"/>
          <w:szCs w:val="24"/>
        </w:rPr>
      </w:pPr>
    </w:p>
    <w:p w14:paraId="1060EFF4" w14:textId="77777777" w:rsidR="009F57C4" w:rsidRPr="00343DAF" w:rsidRDefault="009F57C4" w:rsidP="009F57C4">
      <w:pPr>
        <w:spacing w:before="100" w:beforeAutospacing="1" w:after="100" w:afterAutospacing="1" w:line="276" w:lineRule="auto"/>
        <w:outlineLvl w:val="0"/>
        <w:rPr>
          <w:rFonts w:eastAsia="Times New Roman" w:cs="Arial"/>
          <w:b/>
          <w:bCs/>
          <w:kern w:val="36"/>
          <w:sz w:val="40"/>
          <w:szCs w:val="32"/>
          <w:lang w:eastAsia="en-GB"/>
        </w:rPr>
      </w:pPr>
      <w:bookmarkStart w:id="14" w:name="_Toc161843715"/>
      <w:r w:rsidRPr="00343DAF">
        <w:rPr>
          <w:rFonts w:eastAsia="Times New Roman" w:cs="Arial"/>
          <w:b/>
          <w:bCs/>
          <w:kern w:val="36"/>
          <w:sz w:val="40"/>
          <w:szCs w:val="32"/>
          <w:lang w:eastAsia="en-GB"/>
        </w:rPr>
        <w:t>Q&amp;As</w:t>
      </w:r>
      <w:bookmarkEnd w:id="14"/>
      <w:r w:rsidRPr="00343DAF">
        <w:rPr>
          <w:rFonts w:eastAsia="Times New Roman" w:cs="Arial"/>
          <w:b/>
          <w:bCs/>
          <w:kern w:val="36"/>
          <w:sz w:val="40"/>
          <w:szCs w:val="32"/>
          <w:lang w:eastAsia="en-GB"/>
        </w:rPr>
        <w:t xml:space="preserve"> </w:t>
      </w:r>
    </w:p>
    <w:p w14:paraId="71E20B0D"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These Q&amp;As are in addition to those that are dealt with in CC11. Caseworkers should consider </w:t>
      </w:r>
      <w:hyperlink r:id="rId16" w:tgtFrame="_blank" w:tooltip="CC11" w:history="1">
        <w:r w:rsidRPr="00343DAF">
          <w:rPr>
            <w:rFonts w:eastAsia="Times New Roman" w:cs="Arial"/>
            <w:color w:val="323298"/>
            <w:szCs w:val="24"/>
            <w:lang w:eastAsia="en-GB"/>
          </w:rPr>
          <w:t>CC11</w:t>
        </w:r>
      </w:hyperlink>
      <w:r w:rsidRPr="00343DAF">
        <w:rPr>
          <w:rFonts w:eastAsia="Times New Roman" w:cs="Arial"/>
          <w:color w:val="262626"/>
          <w:szCs w:val="24"/>
          <w:lang w:eastAsia="en-GB"/>
        </w:rPr>
        <w:t xml:space="preserve"> as well as these Q&amp;As when dealing with common queries regarding the statutory power.  </w:t>
      </w:r>
    </w:p>
    <w:p w14:paraId="07CEE065" w14:textId="77777777" w:rsidR="009F57C4" w:rsidRPr="00343DAF" w:rsidRDefault="009F57C4" w:rsidP="009F57C4">
      <w:pPr>
        <w:spacing w:after="0" w:line="276" w:lineRule="auto"/>
        <w:rPr>
          <w:rFonts w:eastAsia="Times New Roman" w:cs="Arial"/>
          <w:color w:val="262626"/>
          <w:szCs w:val="24"/>
          <w:lang w:eastAsia="en-GB"/>
        </w:rPr>
      </w:pPr>
    </w:p>
    <w:p w14:paraId="2683411C" w14:textId="77777777" w:rsidR="009F57C4" w:rsidRPr="00343DAF" w:rsidRDefault="009F57C4" w:rsidP="009F57C4">
      <w:pPr>
        <w:spacing w:after="0" w:line="276" w:lineRule="auto"/>
        <w:rPr>
          <w:rFonts w:eastAsia="Times New Roman" w:cs="Arial"/>
          <w:color w:val="262626"/>
          <w:szCs w:val="24"/>
          <w:lang w:eastAsia="en-GB"/>
        </w:rPr>
      </w:pPr>
    </w:p>
    <w:p w14:paraId="14658E6A"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15" w:name="_Toc161843716"/>
      <w:r w:rsidRPr="00343DAF">
        <w:rPr>
          <w:rFonts w:eastAsia="Times New Roman" w:cstheme="majorBidi"/>
          <w:b/>
          <w:color w:val="000000" w:themeColor="text1"/>
          <w:sz w:val="32"/>
          <w:szCs w:val="24"/>
          <w:lang w:eastAsia="en-GB"/>
        </w:rPr>
        <w:t xml:space="preserve">F1. Does the power to pay trustees for the provision of </w:t>
      </w:r>
      <w:r w:rsidRPr="00343DAF">
        <w:rPr>
          <w:rFonts w:eastAsia="Times New Roman" w:cstheme="majorBidi"/>
          <w:b/>
          <w:bCs/>
          <w:color w:val="000000" w:themeColor="text1"/>
          <w:sz w:val="32"/>
          <w:szCs w:val="24"/>
          <w:lang w:eastAsia="en-GB"/>
        </w:rPr>
        <w:t>goods and/or</w:t>
      </w:r>
      <w:r w:rsidRPr="00343DAF">
        <w:rPr>
          <w:rFonts w:eastAsia="Times New Roman" w:cstheme="majorBidi"/>
          <w:color w:val="000000" w:themeColor="text1"/>
          <w:sz w:val="32"/>
          <w:szCs w:val="24"/>
          <w:lang w:eastAsia="en-GB"/>
        </w:rPr>
        <w:t xml:space="preserve"> </w:t>
      </w:r>
      <w:r w:rsidRPr="00343DAF">
        <w:rPr>
          <w:rFonts w:eastAsia="Times New Roman" w:cstheme="majorBidi"/>
          <w:b/>
          <w:color w:val="000000" w:themeColor="text1"/>
          <w:sz w:val="32"/>
          <w:szCs w:val="24"/>
          <w:lang w:eastAsia="en-GB"/>
        </w:rPr>
        <w:t>services to a charity apply to all types of charity, irrespective of how they are constituted?</w:t>
      </w:r>
      <w:bookmarkEnd w:id="15"/>
      <w:r w:rsidRPr="00343DAF">
        <w:rPr>
          <w:rFonts w:eastAsia="Times New Roman" w:cstheme="majorBidi"/>
          <w:b/>
          <w:color w:val="000000" w:themeColor="text1"/>
          <w:sz w:val="32"/>
          <w:szCs w:val="24"/>
          <w:lang w:eastAsia="en-GB"/>
        </w:rPr>
        <w:t xml:space="preserve"> </w:t>
      </w:r>
    </w:p>
    <w:p w14:paraId="171537AD" w14:textId="77777777" w:rsidR="009F57C4" w:rsidRPr="00343DAF" w:rsidRDefault="009F57C4" w:rsidP="009F57C4">
      <w:pPr>
        <w:rPr>
          <w:lang w:eastAsia="en-GB"/>
        </w:rPr>
      </w:pPr>
    </w:p>
    <w:p w14:paraId="2405A00C" w14:textId="77777777" w:rsidR="009F57C4" w:rsidRPr="00343DAF" w:rsidRDefault="009F57C4" w:rsidP="009F57C4">
      <w:pPr>
        <w:spacing w:after="0" w:line="276" w:lineRule="auto"/>
        <w:rPr>
          <w:rFonts w:eastAsia="Times New Roman" w:cs="Arial"/>
          <w:color w:val="FF0000"/>
          <w:szCs w:val="24"/>
          <w:lang w:eastAsia="en-GB"/>
        </w:rPr>
      </w:pPr>
      <w:r w:rsidRPr="00343DAF">
        <w:rPr>
          <w:rFonts w:eastAsia="Times New Roman" w:cs="Arial"/>
          <w:color w:val="262626"/>
          <w:szCs w:val="24"/>
          <w:lang w:eastAsia="en-GB"/>
        </w:rPr>
        <w:t xml:space="preserve">Yes - provided there is no express prohibition against trustee benefit in a charity’s governing document, and provided the trustees can comply with the conditions of the statutory power. </w:t>
      </w:r>
      <w:r w:rsidRPr="00343DAF">
        <w:rPr>
          <w:rFonts w:eastAsia="Times New Roman" w:cs="Arial"/>
          <w:color w:val="000000" w:themeColor="text1"/>
          <w:szCs w:val="24"/>
          <w:lang w:eastAsia="en-GB"/>
        </w:rPr>
        <w:t>The power applies in addition to any other power that the charity might have to make such a payment – the trustees can therefore choose whether to use the statutory power to make the payment or any other power available to them.</w:t>
      </w:r>
    </w:p>
    <w:p w14:paraId="06D9A8AE" w14:textId="77777777" w:rsidR="009F57C4" w:rsidRPr="00343DAF" w:rsidRDefault="009F57C4" w:rsidP="009F57C4">
      <w:pPr>
        <w:spacing w:after="0" w:line="276" w:lineRule="auto"/>
        <w:rPr>
          <w:rFonts w:eastAsia="Times New Roman" w:cs="Arial"/>
          <w:color w:val="262626"/>
          <w:szCs w:val="24"/>
          <w:lang w:eastAsia="en-GB"/>
        </w:rPr>
      </w:pPr>
    </w:p>
    <w:p w14:paraId="6728D727" w14:textId="77777777" w:rsidR="009F57C4" w:rsidRPr="00343DAF" w:rsidRDefault="009F57C4" w:rsidP="009F57C4">
      <w:pPr>
        <w:spacing w:after="0" w:line="276" w:lineRule="auto"/>
        <w:rPr>
          <w:rFonts w:eastAsia="Times New Roman" w:cs="Arial"/>
          <w:color w:val="262626"/>
          <w:szCs w:val="24"/>
          <w:lang w:eastAsia="en-GB"/>
        </w:rPr>
      </w:pPr>
    </w:p>
    <w:p w14:paraId="24D2D8FF"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(Note: Section 185(5) of the Act requires trustees to observe the duty of care set out in section 1(1) of the Trustee Act 2000 when using the statutory power. The Trustee Act 2000 does not usually apply to companies, however, as the directors of charitable companies are charity trustees, they are required to observe the duty of care in that Act.) </w:t>
      </w:r>
    </w:p>
    <w:p w14:paraId="47DB82B5" w14:textId="77777777" w:rsidR="009F57C4" w:rsidRPr="00343DAF" w:rsidRDefault="009F57C4" w:rsidP="009F57C4">
      <w:pPr>
        <w:spacing w:after="0" w:line="276" w:lineRule="auto"/>
        <w:rPr>
          <w:rFonts w:eastAsia="Times New Roman" w:cs="Arial"/>
          <w:color w:val="262626"/>
          <w:szCs w:val="24"/>
          <w:lang w:eastAsia="en-GB"/>
        </w:rPr>
      </w:pPr>
    </w:p>
    <w:p w14:paraId="4B322BF3"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16" w:name="_Toc161843717"/>
      <w:r w:rsidRPr="00343DAF">
        <w:rPr>
          <w:rFonts w:eastAsia="Times New Roman" w:cstheme="majorBidi"/>
          <w:b/>
          <w:color w:val="000000" w:themeColor="text1"/>
          <w:sz w:val="32"/>
          <w:szCs w:val="24"/>
          <w:lang w:eastAsia="en-GB"/>
        </w:rPr>
        <w:t xml:space="preserve">F2. What kind of payments are within the scope of the statutory power to pay for </w:t>
      </w:r>
      <w:r w:rsidRPr="00343DAF">
        <w:rPr>
          <w:rFonts w:eastAsia="Times New Roman" w:cstheme="majorBidi"/>
          <w:color w:val="000000" w:themeColor="text1"/>
          <w:sz w:val="32"/>
          <w:szCs w:val="24"/>
          <w:lang w:eastAsia="en-GB"/>
        </w:rPr>
        <w:t xml:space="preserve">goods and/or </w:t>
      </w:r>
      <w:r w:rsidRPr="00343DAF">
        <w:rPr>
          <w:rFonts w:eastAsia="Times New Roman" w:cstheme="majorBidi"/>
          <w:b/>
          <w:color w:val="000000" w:themeColor="text1"/>
          <w:sz w:val="32"/>
          <w:szCs w:val="24"/>
          <w:lang w:eastAsia="en-GB"/>
        </w:rPr>
        <w:t>services?</w:t>
      </w:r>
      <w:bookmarkEnd w:id="16"/>
      <w:r w:rsidRPr="00343DAF">
        <w:rPr>
          <w:rFonts w:eastAsia="Times New Roman" w:cstheme="majorBidi"/>
          <w:b/>
          <w:color w:val="000000" w:themeColor="text1"/>
          <w:sz w:val="32"/>
          <w:szCs w:val="24"/>
          <w:lang w:eastAsia="en-GB"/>
        </w:rPr>
        <w:t xml:space="preserve"> </w:t>
      </w:r>
    </w:p>
    <w:p w14:paraId="5ECCED15"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Any payment to a trustee for providing goods and/or services over and above normal trustee duties, this includes goods supplied in connection with the provision of a service. Some examples of the type of payments that fall within the scope of the power are set out in </w:t>
      </w:r>
      <w:hyperlink r:id="rId17" w:tgtFrame="_blank" w:tooltip="CC11" w:history="1">
        <w:r w:rsidRPr="00343DAF">
          <w:rPr>
            <w:rFonts w:eastAsia="Times New Roman" w:cs="Arial"/>
            <w:color w:val="323298"/>
            <w:szCs w:val="24"/>
            <w:lang w:eastAsia="en-GB"/>
          </w:rPr>
          <w:t>CC11</w:t>
        </w:r>
      </w:hyperlink>
      <w:r w:rsidRPr="00343DAF">
        <w:rPr>
          <w:rFonts w:eastAsia="Times New Roman" w:cs="Arial"/>
          <w:color w:val="262626"/>
          <w:szCs w:val="24"/>
          <w:lang w:eastAsia="en-GB"/>
        </w:rPr>
        <w:t xml:space="preserve">. Other examples include: </w:t>
      </w:r>
    </w:p>
    <w:p w14:paraId="76B0165E" w14:textId="77777777" w:rsidR="009F57C4" w:rsidRPr="00343DAF" w:rsidRDefault="009F57C4">
      <w:pPr>
        <w:numPr>
          <w:ilvl w:val="0"/>
          <w:numId w:val="9"/>
        </w:numPr>
        <w:spacing w:before="100" w:beforeAutospacing="1" w:after="100" w:afterAutospacing="1" w:line="276" w:lineRule="auto"/>
        <w:contextualSpacing/>
        <w:rPr>
          <w:rFonts w:cs="Arial"/>
          <w:color w:val="262626"/>
          <w:szCs w:val="24"/>
        </w:rPr>
      </w:pPr>
      <w:r w:rsidRPr="00343DAF">
        <w:rPr>
          <w:rFonts w:cs="Arial"/>
          <w:color w:val="262626"/>
          <w:szCs w:val="24"/>
        </w:rPr>
        <w:t>regular payments, not linked to a contract of employment, for example providing secretarial support or playing a church organ</w:t>
      </w:r>
    </w:p>
    <w:p w14:paraId="5C5708E3" w14:textId="77777777" w:rsidR="009F57C4" w:rsidRPr="00343DAF" w:rsidRDefault="009F57C4">
      <w:pPr>
        <w:numPr>
          <w:ilvl w:val="0"/>
          <w:numId w:val="9"/>
        </w:numPr>
        <w:spacing w:before="100" w:beforeAutospacing="1" w:after="100" w:afterAutospacing="1" w:line="276" w:lineRule="auto"/>
        <w:contextualSpacing/>
        <w:rPr>
          <w:rFonts w:cs="Arial"/>
          <w:color w:val="262626"/>
          <w:szCs w:val="24"/>
        </w:rPr>
      </w:pPr>
      <w:r w:rsidRPr="00343DAF">
        <w:rPr>
          <w:rFonts w:cs="Arial"/>
          <w:color w:val="262626"/>
          <w:szCs w:val="24"/>
        </w:rPr>
        <w:t>payments to a trustee's firm for maintenance services</w:t>
      </w:r>
    </w:p>
    <w:p w14:paraId="11FCC64F" w14:textId="77777777" w:rsidR="009F57C4" w:rsidRPr="00343DAF" w:rsidRDefault="009F57C4">
      <w:pPr>
        <w:numPr>
          <w:ilvl w:val="0"/>
          <w:numId w:val="9"/>
        </w:numPr>
        <w:spacing w:before="100" w:beforeAutospacing="1" w:after="100" w:afterAutospacing="1" w:line="276" w:lineRule="auto"/>
        <w:contextualSpacing/>
        <w:rPr>
          <w:rFonts w:cs="Arial"/>
          <w:color w:val="262626"/>
          <w:szCs w:val="24"/>
        </w:rPr>
      </w:pPr>
      <w:r w:rsidRPr="00343DAF">
        <w:rPr>
          <w:rFonts w:cs="Arial"/>
          <w:color w:val="262626"/>
          <w:szCs w:val="24"/>
        </w:rPr>
        <w:t xml:space="preserve">non-cash benefits, for example, giving a trustee use of the charity's premises at a reduced rate. </w:t>
      </w:r>
    </w:p>
    <w:p w14:paraId="29507002" w14:textId="77777777" w:rsidR="009F57C4" w:rsidRPr="00343DAF" w:rsidRDefault="009F57C4">
      <w:pPr>
        <w:numPr>
          <w:ilvl w:val="0"/>
          <w:numId w:val="9"/>
        </w:numPr>
        <w:spacing w:before="100" w:beforeAutospacing="1" w:after="100" w:afterAutospacing="1" w:line="276" w:lineRule="auto"/>
        <w:contextualSpacing/>
        <w:rPr>
          <w:rFonts w:cs="Arial"/>
          <w:color w:val="000000" w:themeColor="text1"/>
          <w:szCs w:val="24"/>
        </w:rPr>
      </w:pPr>
      <w:r w:rsidRPr="00343DAF">
        <w:rPr>
          <w:rFonts w:cs="Arial"/>
          <w:color w:val="000000" w:themeColor="text1"/>
        </w:rPr>
        <w:t xml:space="preserve">payment for providing building supplies or stationery to the charity </w:t>
      </w:r>
      <w:r w:rsidRPr="00343DAF">
        <w:rPr>
          <w:rFonts w:cs="Arial"/>
          <w:color w:val="000000" w:themeColor="text1"/>
          <w:szCs w:val="24"/>
        </w:rPr>
        <w:t>below market rate</w:t>
      </w:r>
    </w:p>
    <w:p w14:paraId="0DE5D61F" w14:textId="77777777" w:rsidR="009F57C4" w:rsidRPr="00343DAF" w:rsidRDefault="009F57C4">
      <w:pPr>
        <w:numPr>
          <w:ilvl w:val="0"/>
          <w:numId w:val="9"/>
        </w:numPr>
        <w:spacing w:before="100" w:beforeAutospacing="1" w:after="100" w:afterAutospacing="1" w:line="276" w:lineRule="auto"/>
        <w:contextualSpacing/>
        <w:rPr>
          <w:rFonts w:cs="Arial"/>
          <w:color w:val="000000" w:themeColor="text1"/>
          <w:szCs w:val="24"/>
        </w:rPr>
      </w:pPr>
      <w:r w:rsidRPr="00343DAF">
        <w:rPr>
          <w:rFonts w:cs="Arial"/>
          <w:color w:val="000000" w:themeColor="text1"/>
          <w:szCs w:val="24"/>
        </w:rPr>
        <w:t xml:space="preserve">payment for teaching a subject in the charity’s school and the cost of supplying the associated textbooks. </w:t>
      </w:r>
    </w:p>
    <w:p w14:paraId="45540B20"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17" w:name="_Toc161843718"/>
      <w:r w:rsidRPr="00343DAF">
        <w:rPr>
          <w:rFonts w:eastAsia="Times New Roman" w:cstheme="majorBidi"/>
          <w:b/>
          <w:color w:val="000000" w:themeColor="text1"/>
          <w:sz w:val="32"/>
          <w:szCs w:val="24"/>
          <w:lang w:eastAsia="en-GB"/>
        </w:rPr>
        <w:t>F3. What payments are outside of the scope of the statutory power?</w:t>
      </w:r>
      <w:bookmarkEnd w:id="17"/>
      <w:r w:rsidRPr="00343DAF">
        <w:rPr>
          <w:rFonts w:eastAsia="Times New Roman" w:cstheme="majorBidi"/>
          <w:b/>
          <w:color w:val="000000" w:themeColor="text1"/>
          <w:sz w:val="32"/>
          <w:szCs w:val="24"/>
          <w:lang w:eastAsia="en-GB"/>
        </w:rPr>
        <w:t xml:space="preserve"> </w:t>
      </w:r>
    </w:p>
    <w:p w14:paraId="443B9661"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Examples of the kind of payments and circumstances that would mean the proposed payments cannot be made under statutory are set out in </w:t>
      </w:r>
      <w:hyperlink r:id="rId18" w:tgtFrame="_blank" w:tooltip="CC11" w:history="1">
        <w:r w:rsidRPr="00343DAF">
          <w:rPr>
            <w:rFonts w:eastAsia="Times New Roman" w:cs="Arial"/>
            <w:color w:val="323298"/>
            <w:szCs w:val="24"/>
            <w:lang w:eastAsia="en-GB"/>
          </w:rPr>
          <w:t>CC11</w:t>
        </w:r>
      </w:hyperlink>
      <w:r w:rsidRPr="00343DAF">
        <w:rPr>
          <w:rFonts w:eastAsia="Times New Roman" w:cs="Arial"/>
          <w:color w:val="262626"/>
          <w:szCs w:val="24"/>
          <w:lang w:eastAsia="en-GB"/>
        </w:rPr>
        <w:t xml:space="preserve">, in the introduction to section E, and in section E3. In addition to these examples, other trustee payments that would not fall within the terms of the statutory power include payments to a trustee: </w:t>
      </w:r>
    </w:p>
    <w:p w14:paraId="3D04D337" w14:textId="77777777" w:rsidR="009F57C4" w:rsidRPr="00343DAF" w:rsidRDefault="009F57C4">
      <w:pPr>
        <w:numPr>
          <w:ilvl w:val="0"/>
          <w:numId w:val="10"/>
        </w:numPr>
        <w:spacing w:before="100" w:beforeAutospacing="1" w:after="100" w:afterAutospacing="1" w:line="276" w:lineRule="auto"/>
        <w:contextualSpacing/>
        <w:rPr>
          <w:rFonts w:cs="Arial"/>
          <w:color w:val="262626"/>
        </w:rPr>
      </w:pPr>
      <w:r w:rsidRPr="00343DAF">
        <w:rPr>
          <w:rFonts w:cs="Arial"/>
          <w:color w:val="262626" w:themeColor="text1" w:themeTint="D9"/>
        </w:rPr>
        <w:t xml:space="preserve">for serving as trustee (see </w:t>
      </w:r>
      <w:r w:rsidRPr="00343DAF">
        <w:rPr>
          <w:rFonts w:cs="Arial"/>
          <w:color w:val="0000FF"/>
          <w:u w:val="single"/>
        </w:rPr>
        <w:t>OG515-5</w:t>
      </w:r>
      <w:r w:rsidRPr="00343DAF">
        <w:rPr>
          <w:rFonts w:cs="Arial"/>
          <w:color w:val="262626" w:themeColor="text1" w:themeTint="D9"/>
        </w:rPr>
        <w:t>) </w:t>
      </w:r>
    </w:p>
    <w:p w14:paraId="7D27C5DC" w14:textId="77777777" w:rsidR="009F57C4" w:rsidRPr="00343DAF" w:rsidRDefault="009F57C4">
      <w:pPr>
        <w:numPr>
          <w:ilvl w:val="0"/>
          <w:numId w:val="10"/>
        </w:numPr>
        <w:spacing w:before="100" w:beforeAutospacing="1" w:after="100" w:afterAutospacing="1" w:line="276" w:lineRule="auto"/>
        <w:contextualSpacing/>
        <w:rPr>
          <w:rFonts w:cs="Arial"/>
          <w:color w:val="262626"/>
          <w:szCs w:val="24"/>
        </w:rPr>
      </w:pPr>
      <w:r w:rsidRPr="00343DAF">
        <w:rPr>
          <w:rFonts w:cs="Arial"/>
          <w:color w:val="262626"/>
          <w:szCs w:val="24"/>
        </w:rPr>
        <w:t>as a contracted employee of the charity - i.e., where the trustee also holds a separate post within the charity, or is employed on a continuous contract of service by the charity</w:t>
      </w:r>
    </w:p>
    <w:p w14:paraId="79DE83CD" w14:textId="77777777" w:rsidR="009F57C4" w:rsidRPr="00343DAF" w:rsidRDefault="009F57C4">
      <w:pPr>
        <w:numPr>
          <w:ilvl w:val="0"/>
          <w:numId w:val="10"/>
        </w:numPr>
        <w:spacing w:before="100" w:beforeAutospacing="1" w:after="100" w:afterAutospacing="1" w:line="276" w:lineRule="auto"/>
        <w:contextualSpacing/>
        <w:rPr>
          <w:rFonts w:cs="Arial"/>
          <w:color w:val="262626"/>
          <w:szCs w:val="24"/>
        </w:rPr>
      </w:pPr>
      <w:r w:rsidRPr="00343DAF">
        <w:rPr>
          <w:rFonts w:cs="Arial"/>
          <w:color w:val="262626"/>
          <w:szCs w:val="24"/>
        </w:rPr>
        <w:t>on the termination of employment</w:t>
      </w:r>
    </w:p>
    <w:p w14:paraId="68734B7A" w14:textId="77777777" w:rsidR="009F57C4" w:rsidRPr="00343DAF" w:rsidRDefault="009F57C4">
      <w:pPr>
        <w:numPr>
          <w:ilvl w:val="0"/>
          <w:numId w:val="10"/>
        </w:numPr>
        <w:spacing w:before="100" w:beforeAutospacing="1" w:after="100" w:afterAutospacing="1" w:line="276" w:lineRule="auto"/>
        <w:contextualSpacing/>
        <w:rPr>
          <w:rFonts w:cs="Arial"/>
          <w:color w:val="262626"/>
          <w:szCs w:val="24"/>
        </w:rPr>
      </w:pPr>
      <w:r w:rsidRPr="00343DAF">
        <w:rPr>
          <w:rFonts w:cs="Arial"/>
          <w:color w:val="262626"/>
          <w:szCs w:val="24"/>
        </w:rPr>
        <w:lastRenderedPageBreak/>
        <w:t>on the termination of trusteeship</w:t>
      </w:r>
    </w:p>
    <w:p w14:paraId="2A2378D7" w14:textId="77777777" w:rsidR="009F57C4" w:rsidRPr="00343DAF" w:rsidRDefault="009F57C4">
      <w:pPr>
        <w:numPr>
          <w:ilvl w:val="0"/>
          <w:numId w:val="10"/>
        </w:numPr>
        <w:spacing w:before="100" w:beforeAutospacing="1" w:after="100" w:afterAutospacing="1" w:line="276" w:lineRule="auto"/>
        <w:contextualSpacing/>
        <w:rPr>
          <w:rFonts w:cs="Arial"/>
          <w:color w:val="262626"/>
        </w:rPr>
      </w:pPr>
      <w:r w:rsidRPr="00343DAF">
        <w:rPr>
          <w:rFonts w:cs="Arial"/>
          <w:color w:val="262626" w:themeColor="text1" w:themeTint="D9"/>
        </w:rPr>
        <w:t xml:space="preserve">to replace, or part replace, lost income (this includes any compensation paid to the employer of a trustee) (see </w:t>
      </w:r>
      <w:r w:rsidRPr="00343DAF">
        <w:rPr>
          <w:rFonts w:cs="Arial"/>
          <w:color w:val="0000FF"/>
          <w:u w:val="single"/>
        </w:rPr>
        <w:t>OG515-6</w:t>
      </w:r>
      <w:r w:rsidRPr="00343DAF">
        <w:rPr>
          <w:rFonts w:cs="Arial"/>
          <w:color w:val="262626" w:themeColor="text1" w:themeTint="D9"/>
        </w:rPr>
        <w:t>) </w:t>
      </w:r>
    </w:p>
    <w:p w14:paraId="2DDF8AB3" w14:textId="77777777" w:rsidR="009F57C4" w:rsidRPr="00343DAF" w:rsidRDefault="009F57C4">
      <w:pPr>
        <w:numPr>
          <w:ilvl w:val="0"/>
          <w:numId w:val="10"/>
        </w:numPr>
        <w:spacing w:before="100" w:beforeAutospacing="1" w:after="100" w:afterAutospacing="1" w:line="276" w:lineRule="auto"/>
        <w:contextualSpacing/>
        <w:rPr>
          <w:rFonts w:cs="Arial"/>
          <w:color w:val="262626"/>
        </w:rPr>
      </w:pPr>
      <w:r w:rsidRPr="00343DAF">
        <w:rPr>
          <w:rFonts w:cs="Arial"/>
          <w:color w:val="262626" w:themeColor="text1" w:themeTint="D9"/>
        </w:rPr>
        <w:t xml:space="preserve">as an 'honorarium', this is, effectively, a small ex gratia payment for which a trustee has no legal entitlement. (It would usually be the case that an honorarium would fall within our small payments policy, see </w:t>
      </w:r>
      <w:r w:rsidRPr="00343DAF">
        <w:rPr>
          <w:rFonts w:cs="Arial"/>
          <w:color w:val="0000FF"/>
          <w:u w:val="single"/>
        </w:rPr>
        <w:t>OG515-7</w:t>
      </w:r>
      <w:r w:rsidRPr="00343DAF">
        <w:rPr>
          <w:rFonts w:cs="Arial"/>
          <w:color w:val="262626" w:themeColor="text1" w:themeTint="D9"/>
        </w:rPr>
        <w:t>.)</w:t>
      </w:r>
    </w:p>
    <w:p w14:paraId="73D8D083" w14:textId="77777777" w:rsidR="009F57C4" w:rsidRPr="00343DAF" w:rsidRDefault="009F57C4" w:rsidP="009F57C4">
      <w:pPr>
        <w:spacing w:after="0" w:line="276" w:lineRule="auto"/>
        <w:rPr>
          <w:rFonts w:eastAsia="Times New Roman" w:cs="Arial"/>
          <w:color w:val="262626"/>
          <w:szCs w:val="24"/>
          <w:lang w:eastAsia="en-GB"/>
        </w:rPr>
      </w:pPr>
    </w:p>
    <w:p w14:paraId="5FC42979"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18" w:name="_Toc161843719"/>
      <w:r w:rsidRPr="00343DAF">
        <w:rPr>
          <w:rFonts w:eastAsia="Times New Roman" w:cstheme="majorBidi"/>
          <w:b/>
          <w:color w:val="000000" w:themeColor="text1"/>
          <w:sz w:val="32"/>
          <w:szCs w:val="24"/>
          <w:lang w:eastAsia="en-GB"/>
        </w:rPr>
        <w:t>F4. Will we make a 'comfort' Order if trustees are not sure that the statutory power applies in a particular case?</w:t>
      </w:r>
      <w:bookmarkEnd w:id="18"/>
      <w:r w:rsidRPr="00343DAF">
        <w:rPr>
          <w:rFonts w:eastAsia="Times New Roman" w:cstheme="majorBidi"/>
          <w:b/>
          <w:color w:val="000000" w:themeColor="text1"/>
          <w:sz w:val="32"/>
          <w:szCs w:val="24"/>
          <w:lang w:eastAsia="en-GB"/>
        </w:rPr>
        <w:t xml:space="preserve"> </w:t>
      </w:r>
    </w:p>
    <w:p w14:paraId="0377F8C7"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No. If the trustees are satisfied that s185 applies, having taken professional advice if necessary, then the payment can be made without our authority. We will not make a comfort Order to confirm an existing power. However, if the statutory power cannot be used because this will result in at least half of the trustee board benefiting, we may still be able to give authority, but we will need a full case to be made as to why this is in the interests of the charity. </w:t>
      </w:r>
    </w:p>
    <w:p w14:paraId="2C8F9A66"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there is an express prohibition, this will, in all cases, require action to amend the governing document. Where this amendment requires our authority, we expect the trustees to apply for this using the </w:t>
      </w:r>
      <w:hyperlink r:id="rId19" w:history="1">
        <w:r w:rsidRPr="00343DAF">
          <w:rPr>
            <w:rFonts w:eastAsia="Times New Roman" w:cs="Arial"/>
            <w:color w:val="0000FF"/>
            <w:szCs w:val="24"/>
            <w:u w:val="single"/>
            <w:lang w:eastAsia="en-GB"/>
          </w:rPr>
          <w:t>online application form.</w:t>
        </w:r>
      </w:hyperlink>
      <w:r w:rsidRPr="00343DAF">
        <w:rPr>
          <w:rFonts w:eastAsia="Times New Roman" w:cs="Arial"/>
          <w:color w:val="262626"/>
          <w:szCs w:val="24"/>
          <w:lang w:eastAsia="en-GB"/>
        </w:rPr>
        <w:t xml:space="preserve"> </w:t>
      </w:r>
    </w:p>
    <w:p w14:paraId="1C23060F" w14:textId="77777777" w:rsidR="009F57C4" w:rsidRPr="00343DAF" w:rsidRDefault="009F57C4" w:rsidP="009F57C4">
      <w:pPr>
        <w:spacing w:after="0" w:line="276" w:lineRule="auto"/>
        <w:rPr>
          <w:rFonts w:eastAsia="Times New Roman" w:cs="Arial"/>
          <w:color w:val="000000" w:themeColor="text1"/>
          <w:szCs w:val="24"/>
          <w:lang w:eastAsia="en-GB"/>
        </w:rPr>
      </w:pPr>
      <w:r w:rsidRPr="00343DAF">
        <w:rPr>
          <w:rFonts w:eastAsia="Times New Roman" w:cs="Arial"/>
          <w:color w:val="000000" w:themeColor="text1"/>
          <w:szCs w:val="24"/>
          <w:lang w:eastAsia="en-GB"/>
        </w:rPr>
        <w:t xml:space="preserve">To be clear, we cannot make an Order under s.105 of the Charities Act to authorise a payment where this is prohibited by the trusts of the charity – s.105(8) - but there are other possible avenues as addressed below in F6 and F7. </w:t>
      </w:r>
    </w:p>
    <w:p w14:paraId="06AC4079" w14:textId="77777777" w:rsidR="009F57C4" w:rsidRPr="00343DAF" w:rsidRDefault="009F57C4" w:rsidP="009F57C4">
      <w:pPr>
        <w:spacing w:after="0" w:line="276" w:lineRule="auto"/>
        <w:rPr>
          <w:rFonts w:eastAsia="Times New Roman" w:cs="Arial"/>
          <w:color w:val="262626"/>
          <w:szCs w:val="24"/>
          <w:lang w:eastAsia="en-GB"/>
        </w:rPr>
      </w:pPr>
    </w:p>
    <w:p w14:paraId="19321F53" w14:textId="77777777" w:rsidR="009F57C4" w:rsidRPr="00343DAF" w:rsidRDefault="009F57C4" w:rsidP="009F57C4">
      <w:pPr>
        <w:spacing w:after="0" w:line="276" w:lineRule="auto"/>
        <w:outlineLvl w:val="1"/>
        <w:rPr>
          <w:rFonts w:eastAsia="Times New Roman" w:cs="Arial"/>
          <w:b/>
          <w:bCs/>
          <w:color w:val="000000"/>
          <w:sz w:val="24"/>
          <w:szCs w:val="24"/>
          <w:lang w:eastAsia="en-GB"/>
        </w:rPr>
      </w:pPr>
    </w:p>
    <w:p w14:paraId="32E883ED"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19" w:name="_Toc161843720"/>
      <w:r w:rsidRPr="00343DAF">
        <w:rPr>
          <w:rFonts w:eastAsia="Times New Roman" w:cstheme="majorBidi"/>
          <w:b/>
          <w:color w:val="000000" w:themeColor="text1"/>
          <w:sz w:val="32"/>
          <w:szCs w:val="24"/>
          <w:lang w:eastAsia="en-GB"/>
        </w:rPr>
        <w:t>F5. Should the agreement contain a statement that the level of payment does not exceed what might be considered reasonable for the</w:t>
      </w:r>
      <w:r w:rsidRPr="00343DAF">
        <w:rPr>
          <w:rFonts w:eastAsia="Times New Roman" w:cstheme="majorBidi"/>
          <w:color w:val="000000" w:themeColor="text1"/>
          <w:sz w:val="32"/>
          <w:szCs w:val="24"/>
          <w:lang w:eastAsia="en-GB"/>
        </w:rPr>
        <w:t xml:space="preserve"> goods and/or</w:t>
      </w:r>
      <w:r w:rsidRPr="00343DAF">
        <w:rPr>
          <w:rFonts w:eastAsia="Times New Roman" w:cstheme="majorBidi"/>
          <w:b/>
          <w:color w:val="000000" w:themeColor="text1"/>
          <w:sz w:val="32"/>
          <w:szCs w:val="24"/>
          <w:lang w:eastAsia="en-GB"/>
        </w:rPr>
        <w:t xml:space="preserve"> service to be provided and that it is in the best interests of the charity to make the payment?</w:t>
      </w:r>
      <w:bookmarkEnd w:id="19"/>
      <w:r w:rsidRPr="00343DAF">
        <w:rPr>
          <w:rFonts w:eastAsia="Times New Roman" w:cstheme="majorBidi"/>
          <w:b/>
          <w:color w:val="000000" w:themeColor="text1"/>
          <w:sz w:val="32"/>
          <w:szCs w:val="24"/>
          <w:lang w:eastAsia="en-GB"/>
        </w:rPr>
        <w:t xml:space="preserve"> </w:t>
      </w:r>
    </w:p>
    <w:p w14:paraId="1D19ED99"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It is not essential for these factors to be included in the agreement, although, as a matter of good practice, we recommend their inclusion to show the trustees have complied with their duties when reaching their decision. </w:t>
      </w:r>
    </w:p>
    <w:p w14:paraId="06BCB989"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lastRenderedPageBreak/>
        <w:t xml:space="preserve">The key requirement is for the trustee board to properly consider these points before entering into the agreement and note, in the minutes of the meeting, that it is satisfied on both counts. </w:t>
      </w:r>
    </w:p>
    <w:p w14:paraId="11268408" w14:textId="77777777" w:rsidR="009F57C4" w:rsidRPr="00343DAF" w:rsidRDefault="009F57C4" w:rsidP="009F57C4">
      <w:pPr>
        <w:spacing w:after="0" w:line="276" w:lineRule="auto"/>
        <w:rPr>
          <w:rFonts w:eastAsia="Times New Roman" w:cs="Arial"/>
          <w:color w:val="262626"/>
          <w:szCs w:val="24"/>
          <w:lang w:eastAsia="en-GB"/>
        </w:rPr>
      </w:pPr>
    </w:p>
    <w:p w14:paraId="0DA3D06C"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0" w:name="_Toc161843721"/>
      <w:r w:rsidRPr="00343DAF">
        <w:rPr>
          <w:rFonts w:eastAsia="Times New Roman" w:cstheme="majorBidi"/>
          <w:b/>
          <w:color w:val="000000" w:themeColor="text1"/>
          <w:sz w:val="32"/>
          <w:szCs w:val="24"/>
          <w:lang w:eastAsia="en-GB"/>
        </w:rPr>
        <w:t>F6. Under Condition D, the statutory power cannot apply where there is an express prohibition against trustee benefit in the charity’s trusts. How does this affect our model benefits and payments clause?</w:t>
      </w:r>
      <w:bookmarkEnd w:id="20"/>
      <w:r w:rsidRPr="00343DAF">
        <w:rPr>
          <w:rFonts w:eastAsia="Times New Roman" w:cstheme="majorBidi"/>
          <w:b/>
          <w:color w:val="000000" w:themeColor="text1"/>
          <w:sz w:val="32"/>
          <w:szCs w:val="24"/>
          <w:lang w:eastAsia="en-GB"/>
        </w:rPr>
        <w:t xml:space="preserve"> </w:t>
      </w:r>
    </w:p>
    <w:p w14:paraId="607F6479"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While an express prohibition against remuneration prevents the use of the statutory power, we regard our standard benefits and payments clause (or any similar provision where authority to pay a trustee is expressed to be subject to our prior written consent) as a 'qualified prohibition' or, in effect, a conditional power. Because this is not an express prohibition, we consider it does not prevent the use of the statutory power. </w:t>
      </w:r>
    </w:p>
    <w:p w14:paraId="123E5A5D" w14:textId="77777777" w:rsidR="009F57C4" w:rsidRPr="00343DAF" w:rsidRDefault="009F57C4" w:rsidP="009F57C4">
      <w:pPr>
        <w:spacing w:after="0" w:line="276" w:lineRule="auto"/>
        <w:rPr>
          <w:rFonts w:eastAsia="Times New Roman" w:cs="Arial"/>
          <w:color w:val="262626"/>
          <w:szCs w:val="24"/>
          <w:lang w:eastAsia="en-GB"/>
        </w:rPr>
      </w:pPr>
    </w:p>
    <w:p w14:paraId="7D1D648B"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an express prohibition against trustee remuneration is coupled with an exception that may allow, say, the payment of a small honorarium, or the payment of the normal charges of a solicitor-trustee for legal services to the charity, this type of provision cannot be taken as a 'qualified' or 'conditional' authority. This is an express prohibition against any form of remuneration other than that specified so this clause would need to be amended before payments could be made under the statutory power. </w:t>
      </w:r>
    </w:p>
    <w:p w14:paraId="6BA722A0" w14:textId="77777777" w:rsidR="009F57C4" w:rsidRPr="00343DAF" w:rsidRDefault="009F57C4" w:rsidP="009F57C4">
      <w:pPr>
        <w:spacing w:after="0" w:line="276" w:lineRule="auto"/>
        <w:rPr>
          <w:rFonts w:eastAsia="Times New Roman" w:cs="Arial"/>
          <w:color w:val="262626"/>
          <w:szCs w:val="24"/>
          <w:lang w:eastAsia="en-GB"/>
        </w:rPr>
      </w:pPr>
    </w:p>
    <w:p w14:paraId="05E85754"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there is an express prohibition, then, in the case of a charitable company, this can be overturned by a properly taken special resolution of those company members who are not trustees. This resolution will amend the articles of association to remove the prohibition to the extent that the statutory power can be used (see </w:t>
      </w:r>
      <w:r w:rsidRPr="00343DAF">
        <w:rPr>
          <w:rFonts w:eastAsia="Times New Roman" w:cs="Arial"/>
          <w:szCs w:val="24"/>
          <w:lang w:eastAsia="en-GB"/>
        </w:rPr>
        <w:t>question F7</w:t>
      </w:r>
      <w:r w:rsidRPr="00343DAF">
        <w:rPr>
          <w:rFonts w:eastAsia="Times New Roman" w:cs="Arial"/>
          <w:color w:val="262626"/>
          <w:szCs w:val="24"/>
          <w:lang w:eastAsia="en-GB"/>
        </w:rPr>
        <w:t xml:space="preserve">). </w:t>
      </w:r>
    </w:p>
    <w:p w14:paraId="3D6AE717" w14:textId="77777777" w:rsidR="009F57C4" w:rsidRPr="00343DAF" w:rsidRDefault="009F57C4" w:rsidP="009F57C4">
      <w:pPr>
        <w:spacing w:after="0" w:line="276" w:lineRule="auto"/>
        <w:rPr>
          <w:rFonts w:eastAsia="Times New Roman" w:cs="Arial"/>
          <w:color w:val="000000" w:themeColor="text1"/>
          <w:szCs w:val="24"/>
          <w:lang w:eastAsia="en-GB"/>
        </w:rPr>
      </w:pPr>
      <w:r w:rsidRPr="00343DAF">
        <w:rPr>
          <w:rFonts w:eastAsia="Times New Roman" w:cs="Arial"/>
          <w:color w:val="000000" w:themeColor="text1"/>
          <w:szCs w:val="24"/>
          <w:lang w:eastAsia="en-GB"/>
        </w:rPr>
        <w:t>Removing an express prohibition of this kind to allow use of the s.185 power is not a regulated alteration, even though its removal means the trustees can now use the statutory power. </w:t>
      </w:r>
    </w:p>
    <w:p w14:paraId="49303253"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However, where the charity is an unincorporated charity, the trustees cannot use the statutory power of amendment given by s280 to remove an express prohibition. In this case, the trustees will need to apply to the Commission to see if and how the prohibition can be lifted. We would </w:t>
      </w:r>
      <w:r w:rsidRPr="00343DAF">
        <w:rPr>
          <w:rFonts w:eastAsia="Times New Roman" w:cs="Arial"/>
          <w:color w:val="262626"/>
          <w:szCs w:val="24"/>
          <w:lang w:eastAsia="en-GB"/>
        </w:rPr>
        <w:lastRenderedPageBreak/>
        <w:t xml:space="preserve">expect an application to be made using the </w:t>
      </w:r>
      <w:hyperlink r:id="rId20" w:history="1">
        <w:r w:rsidRPr="00343DAF">
          <w:rPr>
            <w:rFonts w:eastAsia="Times New Roman" w:cs="Arial"/>
            <w:color w:val="0000FF"/>
            <w:szCs w:val="24"/>
            <w:u w:val="single"/>
            <w:lang w:eastAsia="en-GB"/>
          </w:rPr>
          <w:t>online application form.</w:t>
        </w:r>
      </w:hyperlink>
      <w:r w:rsidRPr="00343DAF">
        <w:rPr>
          <w:rFonts w:eastAsia="Times New Roman" w:cs="Arial"/>
          <w:color w:val="262626"/>
          <w:szCs w:val="24"/>
          <w:lang w:eastAsia="en-GB"/>
        </w:rPr>
        <w:t xml:space="preserve"> Where we receive an application, we will usually remove the prohibition, unless there is a clear reason why this would not be in the best interests of the charity. If we do agree to remove a prohibition, this will normally require a very short Scheme. </w:t>
      </w:r>
    </w:p>
    <w:p w14:paraId="5907733E" w14:textId="77777777" w:rsidR="009F57C4" w:rsidRPr="00343DAF" w:rsidRDefault="009F57C4" w:rsidP="009F57C4">
      <w:pPr>
        <w:spacing w:after="0" w:line="276" w:lineRule="auto"/>
        <w:rPr>
          <w:rFonts w:eastAsia="Times New Roman" w:cs="Arial"/>
          <w:color w:val="262626"/>
          <w:szCs w:val="24"/>
          <w:lang w:eastAsia="en-GB"/>
        </w:rPr>
      </w:pPr>
    </w:p>
    <w:p w14:paraId="0DDCEA3E"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1" w:name="_Toc161843722"/>
      <w:r w:rsidRPr="00343DAF">
        <w:rPr>
          <w:rFonts w:eastAsia="Times New Roman" w:cstheme="majorBidi"/>
          <w:b/>
          <w:color w:val="000000" w:themeColor="text1"/>
          <w:sz w:val="32"/>
          <w:szCs w:val="24"/>
          <w:lang w:eastAsia="en-GB"/>
        </w:rPr>
        <w:t>F7. How does this apply to directors of charitable companies?</w:t>
      </w:r>
      <w:bookmarkEnd w:id="21"/>
      <w:r w:rsidRPr="00343DAF">
        <w:rPr>
          <w:rFonts w:eastAsia="Times New Roman" w:cstheme="majorBidi"/>
          <w:b/>
          <w:color w:val="000000" w:themeColor="text1"/>
          <w:sz w:val="32"/>
          <w:szCs w:val="24"/>
          <w:lang w:eastAsia="en-GB"/>
        </w:rPr>
        <w:t xml:space="preserve"> </w:t>
      </w:r>
    </w:p>
    <w:p w14:paraId="6F130265" w14:textId="77777777" w:rsidR="009F57C4" w:rsidRPr="00343DAF" w:rsidRDefault="009F57C4" w:rsidP="009F57C4">
      <w:pPr>
        <w:keepNext/>
        <w:keepLines/>
        <w:spacing w:before="40" w:after="0"/>
        <w:outlineLvl w:val="2"/>
        <w:rPr>
          <w:rFonts w:eastAsia="Times New Roman" w:cstheme="majorBidi"/>
          <w:b/>
          <w:color w:val="000000" w:themeColor="text1"/>
          <w:sz w:val="32"/>
          <w:szCs w:val="24"/>
          <w:lang w:eastAsia="en-GB"/>
        </w:rPr>
      </w:pPr>
      <w:bookmarkStart w:id="22" w:name="_Toc161843723"/>
      <w:r w:rsidRPr="00343DAF">
        <w:rPr>
          <w:rFonts w:eastAsia="Times New Roman" w:cstheme="majorBidi"/>
          <w:b/>
          <w:color w:val="000000" w:themeColor="text1"/>
          <w:sz w:val="32"/>
          <w:szCs w:val="24"/>
          <w:lang w:eastAsia="en-GB"/>
        </w:rPr>
        <w:t>F7.1 Where there is no prohibition on trustee benefit in the articles</w:t>
      </w:r>
      <w:bookmarkEnd w:id="22"/>
      <w:r w:rsidRPr="00343DAF">
        <w:rPr>
          <w:rFonts w:eastAsia="Times New Roman" w:cstheme="majorBidi"/>
          <w:b/>
          <w:color w:val="000000" w:themeColor="text1"/>
          <w:sz w:val="32"/>
          <w:szCs w:val="24"/>
          <w:lang w:eastAsia="en-GB"/>
        </w:rPr>
        <w:t xml:space="preserve"> </w:t>
      </w:r>
    </w:p>
    <w:p w14:paraId="474FCD89"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the articles of association contain: </w:t>
      </w:r>
    </w:p>
    <w:p w14:paraId="5B8CC986" w14:textId="77777777" w:rsidR="009F57C4" w:rsidRPr="00343DAF" w:rsidRDefault="009F57C4">
      <w:pPr>
        <w:numPr>
          <w:ilvl w:val="0"/>
          <w:numId w:val="11"/>
        </w:numPr>
        <w:spacing w:before="100" w:beforeAutospacing="1" w:after="100" w:afterAutospacing="1" w:line="276" w:lineRule="auto"/>
        <w:contextualSpacing/>
        <w:rPr>
          <w:rFonts w:cs="Arial"/>
          <w:color w:val="262626"/>
          <w:szCs w:val="24"/>
        </w:rPr>
      </w:pPr>
      <w:r w:rsidRPr="00343DAF">
        <w:rPr>
          <w:rFonts w:cs="Arial"/>
          <w:color w:val="262626"/>
          <w:szCs w:val="24"/>
        </w:rPr>
        <w:t xml:space="preserve">no reference to </w:t>
      </w:r>
    </w:p>
    <w:p w14:paraId="431C01D5" w14:textId="77777777" w:rsidR="009F57C4" w:rsidRPr="00343DAF" w:rsidRDefault="009F57C4">
      <w:pPr>
        <w:numPr>
          <w:ilvl w:val="0"/>
          <w:numId w:val="11"/>
        </w:numPr>
        <w:spacing w:before="100" w:beforeAutospacing="1" w:after="100" w:afterAutospacing="1" w:line="276" w:lineRule="auto"/>
        <w:contextualSpacing/>
        <w:rPr>
          <w:rFonts w:cs="Arial"/>
          <w:color w:val="262626"/>
          <w:szCs w:val="24"/>
        </w:rPr>
      </w:pPr>
      <w:r w:rsidRPr="00343DAF">
        <w:rPr>
          <w:rFonts w:cs="Arial"/>
          <w:color w:val="262626"/>
          <w:szCs w:val="24"/>
        </w:rPr>
        <w:t xml:space="preserve">no prohibition against, or </w:t>
      </w:r>
    </w:p>
    <w:p w14:paraId="247F0E4A" w14:textId="77777777" w:rsidR="009F57C4" w:rsidRPr="00343DAF" w:rsidRDefault="009F57C4">
      <w:pPr>
        <w:numPr>
          <w:ilvl w:val="0"/>
          <w:numId w:val="11"/>
        </w:numPr>
        <w:spacing w:before="100" w:beforeAutospacing="1" w:after="100" w:afterAutospacing="1" w:line="276" w:lineRule="auto"/>
        <w:contextualSpacing/>
        <w:rPr>
          <w:rFonts w:cs="Arial"/>
          <w:color w:val="262626"/>
          <w:szCs w:val="24"/>
        </w:rPr>
      </w:pPr>
      <w:r w:rsidRPr="00343DAF">
        <w:rPr>
          <w:rFonts w:cs="Arial"/>
          <w:color w:val="262626"/>
          <w:szCs w:val="24"/>
        </w:rPr>
        <w:t xml:space="preserve">a power to allow use of, </w:t>
      </w:r>
    </w:p>
    <w:p w14:paraId="3953F26B"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the statutory power, trustees can use the statutory power without amending the articles. </w:t>
      </w:r>
    </w:p>
    <w:p w14:paraId="6487BBED"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However, if the directors (trustees) want to explicitly include in the articles an express power to pay trustees for providing services under s185, for clarity, they can adopt this power without our consent. Even though s198(2)(c) states that any amendment to articles that would authorise any benefit to directors is a regulated alteration requiring s198 consent, s199 specifically excludes any payment made under s185 from the definition of ‘benefit’ under s198 so no s198 consent is required. </w:t>
      </w:r>
    </w:p>
    <w:p w14:paraId="464150C2"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This applies even if there are insufficient members who are not trustees to form a quorum to vote on the resolution. This is because s185 payments are not seen as ‘benefits’ (s199) for the purposes of section 198. The rule in re French Protestant Hospital [1951] Ch 567 does not apply because the trustees are not conferring on themselves any power they cannot exercise anyway under the statutory power. </w:t>
      </w:r>
    </w:p>
    <w:p w14:paraId="52C3FE43"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3" w:name="_Toc161843724"/>
      <w:r w:rsidRPr="00343DAF">
        <w:rPr>
          <w:rFonts w:eastAsia="Times New Roman" w:cstheme="majorBidi"/>
          <w:b/>
          <w:color w:val="000000" w:themeColor="text1"/>
          <w:sz w:val="32"/>
          <w:szCs w:val="24"/>
          <w:lang w:eastAsia="en-GB"/>
        </w:rPr>
        <w:t>F7.2 Where there is an express prohibition</w:t>
      </w:r>
      <w:bookmarkEnd w:id="23"/>
      <w:r w:rsidRPr="00343DAF">
        <w:rPr>
          <w:rFonts w:eastAsia="Times New Roman" w:cstheme="majorBidi"/>
          <w:b/>
          <w:color w:val="000000" w:themeColor="text1"/>
          <w:sz w:val="32"/>
          <w:szCs w:val="24"/>
          <w:lang w:eastAsia="en-GB"/>
        </w:rPr>
        <w:t xml:space="preserve"> </w:t>
      </w:r>
    </w:p>
    <w:p w14:paraId="43FE3DBC"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Where there is an express prohibition on any trustee benefit in the articles, this must be removed before the statutory power can be used (in order to be able to comply with Condition D of s185). This is not a regulated alteration, because of s199 of the Act, so the prohibition can </w:t>
      </w:r>
      <w:r w:rsidRPr="00343DAF">
        <w:rPr>
          <w:rFonts w:eastAsia="Times New Roman" w:cs="Arial"/>
          <w:color w:val="262626"/>
          <w:szCs w:val="24"/>
          <w:lang w:eastAsia="en-GB"/>
        </w:rPr>
        <w:lastRenderedPageBreak/>
        <w:t xml:space="preserve">be removed by the members, without the need for consent or authority from the Commission, as long as there are sufficient members who are not trustees to form a quorum. </w:t>
      </w:r>
    </w:p>
    <w:p w14:paraId="0B9336A2"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However, where there are insufficient members, who are not trustees, to vote to remove the prohibition, the members who are trustees will need authority to vote to do this because of the rule in re French Protestant Hospital. We will give this authority by s105 Order because this is not a regulated alteration so 198 cannot be used. [In cases where we are giving s198 consent to a regulated alteration allowing trustee benefit beyond the scope of section 185 we consider that our decision-making takes into account any conflict of interest so there is no need for additional s105 authority for trustees to vote on the resolution.] </w:t>
      </w:r>
    </w:p>
    <w:p w14:paraId="29A39675" w14:textId="77777777" w:rsidR="009F57C4" w:rsidRPr="00343DAF" w:rsidRDefault="009F57C4" w:rsidP="009F57C4">
      <w:pPr>
        <w:spacing w:after="200" w:line="276" w:lineRule="auto"/>
        <w:rPr>
          <w:rFonts w:eastAsia="Times New Roman" w:cs="Arial"/>
          <w:color w:val="262626"/>
          <w:szCs w:val="24"/>
          <w:lang w:eastAsia="en-GB"/>
        </w:rPr>
      </w:pPr>
      <w:r w:rsidRPr="00343DAF">
        <w:rPr>
          <w:rFonts w:eastAsia="Times New Roman" w:cs="Arial"/>
          <w:color w:val="262626"/>
          <w:szCs w:val="24"/>
          <w:lang w:eastAsia="en-GB"/>
        </w:rPr>
        <w:t xml:space="preserve">See section B8.1 of </w:t>
      </w:r>
      <w:r w:rsidRPr="00343DAF">
        <w:rPr>
          <w:rFonts w:eastAsia="Times New Roman" w:cs="Arial"/>
          <w:szCs w:val="24"/>
          <w:lang w:eastAsia="en-GB"/>
        </w:rPr>
        <w:t>OG518</w:t>
      </w:r>
      <w:r w:rsidRPr="00343DAF">
        <w:rPr>
          <w:rFonts w:eastAsia="Times New Roman" w:cs="Arial"/>
          <w:color w:val="262626"/>
          <w:szCs w:val="24"/>
          <w:lang w:eastAsia="en-GB"/>
        </w:rPr>
        <w:t xml:space="preserve"> for more information about removing a prohibition from a company’s articles. </w:t>
      </w:r>
    </w:p>
    <w:p w14:paraId="03CFC36D"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4" w:name="_Toc161843725"/>
      <w:r w:rsidRPr="00343DAF">
        <w:rPr>
          <w:rFonts w:eastAsia="Times New Roman" w:cstheme="majorBidi"/>
          <w:b/>
          <w:color w:val="000000" w:themeColor="text1"/>
          <w:sz w:val="32"/>
          <w:szCs w:val="24"/>
          <w:lang w:eastAsia="en-GB"/>
        </w:rPr>
        <w:t>F8. Under s186, if a trustee acts while disqualified, we can order repayment of any remuneration paid to him or her - or direct that no further moneys be paid over. In this context, what constitutes 'any decision or other matter connected with the agreement' that a trustee is disqualified from acting in?</w:t>
      </w:r>
      <w:bookmarkEnd w:id="24"/>
      <w:r w:rsidRPr="00343DAF">
        <w:rPr>
          <w:rFonts w:eastAsia="Times New Roman" w:cstheme="majorBidi"/>
          <w:b/>
          <w:color w:val="000000" w:themeColor="text1"/>
          <w:sz w:val="32"/>
          <w:szCs w:val="24"/>
          <w:lang w:eastAsia="en-GB"/>
        </w:rPr>
        <w:t xml:space="preserve"> </w:t>
      </w:r>
    </w:p>
    <w:p w14:paraId="5488D38F"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We consider this would cover any matter which may actually or potentially affect the material benefit to the trustee (or connected person). The trustee should withdraw from any discussion of the trustees concerning the matter, and should not vote on any decision to engage his/her services, or to terminate them. Nor should that person substantively participate in any discussion or decision concerning the working out of terms and conditions relating to that service, or to their subsequent review, except to answer questions, and to provide relevant information, as required. </w:t>
      </w:r>
    </w:p>
    <w:p w14:paraId="2029002D" w14:textId="77777777" w:rsidR="009F57C4" w:rsidRPr="00343DAF" w:rsidRDefault="009F57C4" w:rsidP="009F57C4">
      <w:pPr>
        <w:spacing w:after="0" w:line="276" w:lineRule="auto"/>
        <w:outlineLvl w:val="1"/>
        <w:rPr>
          <w:rFonts w:eastAsia="Times New Roman" w:cs="Arial"/>
          <w:b/>
          <w:bCs/>
          <w:color w:val="000000"/>
          <w:sz w:val="24"/>
          <w:szCs w:val="24"/>
          <w:lang w:eastAsia="en-GB"/>
        </w:rPr>
      </w:pPr>
    </w:p>
    <w:p w14:paraId="5FF86F0D"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5" w:name="_Toc161843726"/>
      <w:r w:rsidRPr="00343DAF">
        <w:rPr>
          <w:rFonts w:eastAsia="Times New Roman" w:cstheme="majorBidi"/>
          <w:b/>
          <w:color w:val="000000" w:themeColor="text1"/>
          <w:sz w:val="32"/>
          <w:szCs w:val="24"/>
          <w:lang w:eastAsia="en-GB"/>
        </w:rPr>
        <w:lastRenderedPageBreak/>
        <w:t>F9. If a trustee or connected person breaches the agreement, will this mean, for example, that any legal work carried out by that person on the charity’s behalf would be invalid?</w:t>
      </w:r>
      <w:bookmarkEnd w:id="25"/>
      <w:r w:rsidRPr="00343DAF">
        <w:rPr>
          <w:rFonts w:eastAsia="Times New Roman" w:cstheme="majorBidi"/>
          <w:b/>
          <w:color w:val="000000" w:themeColor="text1"/>
          <w:sz w:val="32"/>
          <w:szCs w:val="24"/>
          <w:lang w:eastAsia="en-GB"/>
        </w:rPr>
        <w:t xml:space="preserve"> </w:t>
      </w:r>
    </w:p>
    <w:p w14:paraId="58C9221C"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No, subsection (3) of s186 provides that any act on the charity’s behalf may stand, even if the trustee is disqualified and is in breach of the agreement. This will apply even though the trustee may still be liable to return the payment received to the charity. </w:t>
      </w:r>
    </w:p>
    <w:p w14:paraId="372E6497" w14:textId="77777777" w:rsidR="009F57C4" w:rsidRPr="00343DAF" w:rsidRDefault="009F57C4" w:rsidP="009F57C4">
      <w:pPr>
        <w:spacing w:after="0" w:line="276" w:lineRule="auto"/>
        <w:outlineLvl w:val="1"/>
        <w:rPr>
          <w:rFonts w:eastAsia="Times New Roman" w:cs="Arial"/>
          <w:b/>
          <w:bCs/>
          <w:color w:val="000000"/>
          <w:sz w:val="24"/>
          <w:szCs w:val="24"/>
          <w:lang w:eastAsia="en-GB"/>
        </w:rPr>
      </w:pPr>
    </w:p>
    <w:p w14:paraId="09D5B539"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6" w:name="_Toc161843727"/>
      <w:r w:rsidRPr="00343DAF">
        <w:rPr>
          <w:rFonts w:eastAsia="Times New Roman" w:cstheme="majorBidi"/>
          <w:b/>
          <w:color w:val="000000" w:themeColor="text1"/>
          <w:sz w:val="32"/>
          <w:szCs w:val="24"/>
          <w:lang w:eastAsia="en-GB"/>
        </w:rPr>
        <w:t>F10. Will a breach of the agreement by a 'disqualified' trustee be a criminal offence?</w:t>
      </w:r>
      <w:bookmarkEnd w:id="26"/>
      <w:r w:rsidRPr="00343DAF">
        <w:rPr>
          <w:rFonts w:eastAsia="Times New Roman" w:cstheme="majorBidi"/>
          <w:b/>
          <w:color w:val="000000" w:themeColor="text1"/>
          <w:sz w:val="32"/>
          <w:szCs w:val="24"/>
          <w:lang w:eastAsia="en-GB"/>
        </w:rPr>
        <w:t xml:space="preserve"> </w:t>
      </w:r>
    </w:p>
    <w:p w14:paraId="6696004E" w14:textId="5E5271CE"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The statutory power does not in itself criminalise acting while disqualified in relation to the terms and conditions of the remuneration - unlike existing penalties for acting as a trustee whilst disqualified. We will need to consider the case against our </w:t>
      </w:r>
      <w:hyperlink r:id="rId21" w:history="1">
        <w:r w:rsidR="001A17FE">
          <w:rPr>
            <w:rStyle w:val="Hyperlink"/>
            <w:rFonts w:cs="Arial"/>
            <w:shd w:val="clear" w:color="auto" w:fill="FFFFFF"/>
          </w:rPr>
          <w:t>guidance on </w:t>
        </w:r>
        <w:r w:rsidR="001A17FE">
          <w:rPr>
            <w:rStyle w:val="Hyperlink"/>
            <w:rFonts w:cs="Arial"/>
            <w:lang w:val="en"/>
          </w:rPr>
          <w:t>Raising a concern with the Charity Commission</w:t>
        </w:r>
      </w:hyperlink>
      <w:r w:rsidRPr="00343DAF">
        <w:rPr>
          <w:rFonts w:eastAsia="Times New Roman" w:cs="Arial"/>
          <w:color w:val="262626"/>
          <w:szCs w:val="24"/>
          <w:lang w:eastAsia="en-GB"/>
        </w:rPr>
        <w:t xml:space="preserve"> before deciding to use our powers under s186. There may be many cases where we consider that a low-level breach has occurred, but that the outcome for the charity means that it is not appropriate to seek repayment of all or part of the monies received by the disqualified trustee. But it is possible that, in extreme cases, we will have to consider whether or not it might be appropriate to refer the case to a prosecuting authority on the grounds of fraud. </w:t>
      </w:r>
    </w:p>
    <w:p w14:paraId="23969DCF" w14:textId="77777777" w:rsidR="009F57C4" w:rsidRPr="00343DAF" w:rsidRDefault="009F57C4" w:rsidP="009F57C4">
      <w:pPr>
        <w:spacing w:after="0" w:line="276" w:lineRule="auto"/>
        <w:rPr>
          <w:rFonts w:eastAsia="Times New Roman" w:cs="Arial"/>
          <w:color w:val="262626"/>
          <w:szCs w:val="24"/>
          <w:lang w:eastAsia="en-GB"/>
        </w:rPr>
      </w:pPr>
    </w:p>
    <w:p w14:paraId="6430D022"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7" w:name="_Toc161843728"/>
      <w:r w:rsidRPr="00343DAF">
        <w:rPr>
          <w:rFonts w:eastAsia="Times New Roman" w:cstheme="majorBidi"/>
          <w:b/>
          <w:color w:val="000000" w:themeColor="text1"/>
          <w:sz w:val="32"/>
          <w:szCs w:val="24"/>
          <w:lang w:eastAsia="en-GB"/>
        </w:rPr>
        <w:t>F11. Suppose an agreement is entered into with a trustee enabling him/her to be paid for delivering lectures in the charity’s museum. Would that person be disqualified from decisions relating to fixing the scale of payments for lecturers? Would it extend to agreeing the museum’s policy on lectures and similar activities? Would it extend to any discussion about the development of the charity’s business plan, if this were to mention the lectures?</w:t>
      </w:r>
      <w:bookmarkEnd w:id="27"/>
      <w:r w:rsidRPr="00343DAF">
        <w:rPr>
          <w:rFonts w:eastAsia="Times New Roman" w:cstheme="majorBidi"/>
          <w:b/>
          <w:color w:val="000000" w:themeColor="text1"/>
          <w:sz w:val="32"/>
          <w:szCs w:val="24"/>
          <w:lang w:eastAsia="en-GB"/>
        </w:rPr>
        <w:t xml:space="preserve"> </w:t>
      </w:r>
    </w:p>
    <w:p w14:paraId="3FADA28F" w14:textId="77777777" w:rsidR="009F57C4" w:rsidRPr="00343DAF" w:rsidRDefault="009F57C4" w:rsidP="009F57C4"/>
    <w:p w14:paraId="03422B9C"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In all cases, yes - but only in relation to matters that specifically affect, or potentially affect, the benefit in question. The trustee concerned will be disqualified from acting as a trustee in any matter of policy that is likely to impact on the terms and conditions of his/her engagement. This </w:t>
      </w:r>
      <w:r w:rsidRPr="00343DAF">
        <w:rPr>
          <w:rFonts w:eastAsia="Times New Roman" w:cs="Arial"/>
          <w:color w:val="262626"/>
          <w:szCs w:val="24"/>
          <w:lang w:eastAsia="en-GB"/>
        </w:rPr>
        <w:lastRenderedPageBreak/>
        <w:t xml:space="preserve">means that the trustee’s expertise will be lost in any strategic or local decision-making process requiring a choice between competing options, or which may require a business decision to continue, dispense with, or scale down the activity in question. The trustee is also disqualified from acting in relation to the setting of fees or scales of payment within the charity for that activity. </w:t>
      </w:r>
    </w:p>
    <w:p w14:paraId="1C8FA31E" w14:textId="77777777" w:rsidR="009F57C4" w:rsidRPr="00343DAF" w:rsidRDefault="009F57C4" w:rsidP="009F57C4">
      <w:pPr>
        <w:spacing w:after="0" w:line="276" w:lineRule="auto"/>
        <w:outlineLvl w:val="1"/>
        <w:rPr>
          <w:rFonts w:eastAsia="Times New Roman" w:cs="Arial"/>
          <w:b/>
          <w:bCs/>
          <w:color w:val="000000"/>
          <w:sz w:val="24"/>
          <w:szCs w:val="24"/>
          <w:lang w:eastAsia="en-GB"/>
        </w:rPr>
      </w:pPr>
    </w:p>
    <w:p w14:paraId="4D716627" w14:textId="77777777" w:rsidR="009F57C4" w:rsidRPr="00343DAF" w:rsidRDefault="009F57C4" w:rsidP="009F57C4">
      <w:pPr>
        <w:keepNext/>
        <w:keepLines/>
        <w:spacing w:before="40" w:after="0"/>
        <w:outlineLvl w:val="2"/>
        <w:rPr>
          <w:rFonts w:eastAsia="Times New Roman" w:cstheme="majorBidi"/>
          <w:color w:val="000000" w:themeColor="text1"/>
          <w:sz w:val="32"/>
          <w:szCs w:val="24"/>
          <w:lang w:eastAsia="en-GB"/>
        </w:rPr>
      </w:pPr>
      <w:bookmarkStart w:id="28" w:name="_Toc161843729"/>
      <w:r w:rsidRPr="00343DAF">
        <w:rPr>
          <w:rFonts w:eastAsia="Times New Roman" w:cstheme="majorBidi"/>
          <w:b/>
          <w:color w:val="000000" w:themeColor="text1"/>
          <w:sz w:val="32"/>
          <w:szCs w:val="24"/>
          <w:lang w:eastAsia="en-GB"/>
        </w:rPr>
        <w:t>F12. Does use of the statutory power need to be mentioned in charity accounts?</w:t>
      </w:r>
      <w:bookmarkEnd w:id="28"/>
      <w:r w:rsidRPr="00343DAF">
        <w:rPr>
          <w:rFonts w:eastAsia="Times New Roman" w:cstheme="majorBidi"/>
          <w:b/>
          <w:color w:val="000000" w:themeColor="text1"/>
          <w:sz w:val="32"/>
          <w:szCs w:val="24"/>
          <w:lang w:eastAsia="en-GB"/>
        </w:rPr>
        <w:t xml:space="preserve"> </w:t>
      </w:r>
    </w:p>
    <w:p w14:paraId="1268D61D" w14:textId="77777777" w:rsidR="009F57C4" w:rsidRPr="00343DAF" w:rsidRDefault="009F57C4" w:rsidP="009F57C4">
      <w:pPr>
        <w:spacing w:after="0" w:line="276" w:lineRule="auto"/>
        <w:rPr>
          <w:rFonts w:eastAsia="Times New Roman" w:cs="Arial"/>
          <w:color w:val="262626"/>
          <w:szCs w:val="24"/>
          <w:lang w:eastAsia="en-GB"/>
        </w:rPr>
      </w:pPr>
      <w:r w:rsidRPr="00343DAF">
        <w:rPr>
          <w:rFonts w:eastAsia="Times New Roman" w:cs="Arial"/>
          <w:color w:val="262626"/>
          <w:szCs w:val="24"/>
          <w:lang w:eastAsia="en-GB"/>
        </w:rPr>
        <w:t xml:space="preserve">Yes, see section E12 of </w:t>
      </w:r>
      <w:hyperlink r:id="rId22" w:tgtFrame="_blank" w:tooltip="CC11" w:history="1">
        <w:r w:rsidRPr="00343DAF">
          <w:rPr>
            <w:rFonts w:eastAsia="Times New Roman" w:cs="Arial"/>
            <w:color w:val="323298"/>
            <w:szCs w:val="24"/>
            <w:lang w:eastAsia="en-GB"/>
          </w:rPr>
          <w:t>CC11</w:t>
        </w:r>
      </w:hyperlink>
      <w:r w:rsidRPr="00343DAF">
        <w:rPr>
          <w:rFonts w:eastAsia="Times New Roman" w:cs="Arial"/>
          <w:color w:val="262626"/>
          <w:szCs w:val="24"/>
          <w:lang w:eastAsia="en-GB"/>
        </w:rPr>
        <w:t xml:space="preserve">. [Note, even where a charity is not required to report under the Charities' SORP, because it falls under a different SORP e.g. the Housing SORP or the Further and Higher Education SORP, the trustees are still expected to follow the principles of the Charities' SORP when reporting trustee payments.]  </w:t>
      </w:r>
    </w:p>
    <w:p w14:paraId="5AEAD83F" w14:textId="77777777" w:rsidR="009F57C4" w:rsidRPr="00343DAF" w:rsidRDefault="009F57C4" w:rsidP="009F57C4">
      <w:pPr>
        <w:spacing w:line="276" w:lineRule="auto"/>
        <w:rPr>
          <w:rFonts w:cs="Arial"/>
          <w:szCs w:val="24"/>
        </w:rPr>
      </w:pPr>
    </w:p>
    <w:p w14:paraId="7E76CE30" w14:textId="77777777" w:rsidR="009F57C4" w:rsidRPr="0089341E" w:rsidRDefault="009F57C4" w:rsidP="009F57C4"/>
    <w:p w14:paraId="14B83437" w14:textId="77777777" w:rsidR="00DB1348" w:rsidRPr="009F57C4" w:rsidRDefault="00DB1348" w:rsidP="009F57C4"/>
    <w:sectPr w:rsidR="00DB1348" w:rsidRPr="009F57C4" w:rsidSect="00561FC3">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8FA87" w14:textId="77777777" w:rsidR="009A1B8E" w:rsidRDefault="009A1B8E">
      <w:pPr>
        <w:spacing w:after="0" w:line="240" w:lineRule="auto"/>
      </w:pPr>
      <w:r>
        <w:separator/>
      </w:r>
    </w:p>
  </w:endnote>
  <w:endnote w:type="continuationSeparator" w:id="0">
    <w:p w14:paraId="78167B5B" w14:textId="77777777" w:rsidR="009A1B8E" w:rsidRDefault="009A1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543450"/>
      <w:docPartObj>
        <w:docPartGallery w:val="Page Numbers (Bottom of Page)"/>
        <w:docPartUnique/>
      </w:docPartObj>
    </w:sdtPr>
    <w:sdtEndPr>
      <w:rPr>
        <w:noProof/>
      </w:rPr>
    </w:sdtEndPr>
    <w:sdtContent>
      <w:p w14:paraId="468D2820" w14:textId="77777777" w:rsidR="009A1B8E" w:rsidRDefault="009A1B8E">
        <w:pPr>
          <w:pStyle w:val="Footer"/>
        </w:pPr>
        <w:r>
          <w:fldChar w:fldCharType="begin"/>
        </w:r>
        <w:r>
          <w:instrText xml:space="preserve"> PAGE   \* MERGEFORMAT </w:instrText>
        </w:r>
        <w:r>
          <w:fldChar w:fldCharType="separate"/>
        </w:r>
        <w:r>
          <w:rPr>
            <w:noProof/>
          </w:rPr>
          <w:t>2</w:t>
        </w:r>
        <w:r>
          <w:rPr>
            <w:noProof/>
          </w:rPr>
          <w:fldChar w:fldCharType="end"/>
        </w:r>
      </w:p>
    </w:sdtContent>
  </w:sdt>
  <w:p w14:paraId="30493FE6" w14:textId="77777777" w:rsidR="009A1B8E" w:rsidRDefault="009A1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28A5" w14:textId="77777777" w:rsidR="009A1B8E" w:rsidRDefault="009A1B8E">
      <w:pPr>
        <w:spacing w:after="0" w:line="240" w:lineRule="auto"/>
      </w:pPr>
      <w:r>
        <w:separator/>
      </w:r>
    </w:p>
  </w:footnote>
  <w:footnote w:type="continuationSeparator" w:id="0">
    <w:p w14:paraId="3F4E11D3" w14:textId="77777777" w:rsidR="009A1B8E" w:rsidRDefault="009A1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4EE"/>
    <w:multiLevelType w:val="hybridMultilevel"/>
    <w:tmpl w:val="3BAEFD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5D48CC"/>
    <w:multiLevelType w:val="hybridMultilevel"/>
    <w:tmpl w:val="0422CF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B4269E"/>
    <w:multiLevelType w:val="hybridMultilevel"/>
    <w:tmpl w:val="46D83C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F32615"/>
    <w:multiLevelType w:val="hybridMultilevel"/>
    <w:tmpl w:val="7F10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010BB"/>
    <w:multiLevelType w:val="hybridMultilevel"/>
    <w:tmpl w:val="0230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830A3"/>
    <w:multiLevelType w:val="hybridMultilevel"/>
    <w:tmpl w:val="4DE6E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F56173"/>
    <w:multiLevelType w:val="hybridMultilevel"/>
    <w:tmpl w:val="8E5AA6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7475B80"/>
    <w:multiLevelType w:val="hybridMultilevel"/>
    <w:tmpl w:val="12406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4F3924"/>
    <w:multiLevelType w:val="hybridMultilevel"/>
    <w:tmpl w:val="C6B476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8B315D"/>
    <w:multiLevelType w:val="hybridMultilevel"/>
    <w:tmpl w:val="EDBA8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8231ECD"/>
    <w:multiLevelType w:val="hybridMultilevel"/>
    <w:tmpl w:val="8856B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ED76291"/>
    <w:multiLevelType w:val="hybridMultilevel"/>
    <w:tmpl w:val="4D62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864769">
    <w:abstractNumId w:val="6"/>
  </w:num>
  <w:num w:numId="2" w16cid:durableId="1318345010">
    <w:abstractNumId w:val="10"/>
  </w:num>
  <w:num w:numId="3" w16cid:durableId="496044340">
    <w:abstractNumId w:val="7"/>
  </w:num>
  <w:num w:numId="4" w16cid:durableId="1323119053">
    <w:abstractNumId w:val="9"/>
  </w:num>
  <w:num w:numId="5" w16cid:durableId="1388184900">
    <w:abstractNumId w:val="2"/>
  </w:num>
  <w:num w:numId="6" w16cid:durableId="935291313">
    <w:abstractNumId w:val="3"/>
  </w:num>
  <w:num w:numId="7" w16cid:durableId="84501292">
    <w:abstractNumId w:val="8"/>
  </w:num>
  <w:num w:numId="8" w16cid:durableId="1331329739">
    <w:abstractNumId w:val="4"/>
  </w:num>
  <w:num w:numId="9" w16cid:durableId="319115337">
    <w:abstractNumId w:val="1"/>
  </w:num>
  <w:num w:numId="10" w16cid:durableId="1269629528">
    <w:abstractNumId w:val="5"/>
  </w:num>
  <w:num w:numId="11" w16cid:durableId="522477451">
    <w:abstractNumId w:val="0"/>
  </w:num>
  <w:num w:numId="12" w16cid:durableId="88679885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E46FC"/>
    <w:rsid w:val="00174165"/>
    <w:rsid w:val="001A17FE"/>
    <w:rsid w:val="002554CC"/>
    <w:rsid w:val="002A3C01"/>
    <w:rsid w:val="00556821"/>
    <w:rsid w:val="00812035"/>
    <w:rsid w:val="00823007"/>
    <w:rsid w:val="00957234"/>
    <w:rsid w:val="009936F3"/>
    <w:rsid w:val="009A1B8E"/>
    <w:rsid w:val="009B452C"/>
    <w:rsid w:val="009E00AA"/>
    <w:rsid w:val="009F57C4"/>
    <w:rsid w:val="00A37E4D"/>
    <w:rsid w:val="00DB1348"/>
    <w:rsid w:val="00EB27E7"/>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AA91"/>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7C4"/>
    <w:rPr>
      <w:sz w:val="28"/>
    </w:rPr>
  </w:style>
  <w:style w:type="paragraph" w:styleId="Heading1">
    <w:name w:val="heading 1"/>
    <w:basedOn w:val="Normal"/>
    <w:link w:val="Heading1Char"/>
    <w:uiPriority w:val="9"/>
    <w:qFormat/>
    <w:rsid w:val="00957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572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5723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3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5723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semiHidden/>
    <w:rsid w:val="00957234"/>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9B452C"/>
    <w:pPr>
      <w:ind w:left="720"/>
      <w:contextualSpacing/>
    </w:pPr>
  </w:style>
  <w:style w:type="paragraph" w:styleId="NoSpacing">
    <w:name w:val="No Spacing"/>
    <w:link w:val="NoSpacingChar"/>
    <w:uiPriority w:val="1"/>
    <w:qFormat/>
    <w:rsid w:val="009F57C4"/>
    <w:pPr>
      <w:spacing w:after="0" w:line="240" w:lineRule="auto"/>
    </w:pPr>
  </w:style>
  <w:style w:type="paragraph" w:styleId="Footer">
    <w:name w:val="footer"/>
    <w:basedOn w:val="Normal"/>
    <w:link w:val="FooterChar"/>
    <w:uiPriority w:val="99"/>
    <w:unhideWhenUsed/>
    <w:rsid w:val="009F57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7C4"/>
    <w:rPr>
      <w:sz w:val="28"/>
    </w:rPr>
  </w:style>
  <w:style w:type="character" w:customStyle="1" w:styleId="NoSpacingChar">
    <w:name w:val="No Spacing Char"/>
    <w:basedOn w:val="DefaultParagraphFont"/>
    <w:link w:val="NoSpacing"/>
    <w:uiPriority w:val="1"/>
    <w:rsid w:val="009F57C4"/>
  </w:style>
  <w:style w:type="paragraph" w:styleId="TOC1">
    <w:name w:val="toc 1"/>
    <w:basedOn w:val="Normal"/>
    <w:next w:val="Normal"/>
    <w:autoRedefine/>
    <w:uiPriority w:val="39"/>
    <w:unhideWhenUsed/>
    <w:rsid w:val="00812035"/>
    <w:pPr>
      <w:spacing w:after="100"/>
    </w:pPr>
  </w:style>
  <w:style w:type="paragraph" w:styleId="TOC3">
    <w:name w:val="toc 3"/>
    <w:basedOn w:val="Normal"/>
    <w:next w:val="Normal"/>
    <w:autoRedefine/>
    <w:uiPriority w:val="39"/>
    <w:unhideWhenUsed/>
    <w:rsid w:val="00812035"/>
    <w:pPr>
      <w:spacing w:after="100"/>
      <w:ind w:left="560"/>
    </w:pPr>
  </w:style>
  <w:style w:type="paragraph" w:styleId="TOC2">
    <w:name w:val="toc 2"/>
    <w:basedOn w:val="Normal"/>
    <w:next w:val="Normal"/>
    <w:autoRedefine/>
    <w:uiPriority w:val="39"/>
    <w:unhideWhenUsed/>
    <w:rsid w:val="00812035"/>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7034627">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54384320">
      <w:bodyDiv w:val="1"/>
      <w:marLeft w:val="0"/>
      <w:marRight w:val="0"/>
      <w:marTop w:val="0"/>
      <w:marBottom w:val="0"/>
      <w:divBdr>
        <w:top w:val="none" w:sz="0" w:space="0" w:color="auto"/>
        <w:left w:val="none" w:sz="0" w:space="0" w:color="auto"/>
        <w:bottom w:val="none" w:sz="0" w:space="0" w:color="auto"/>
        <w:right w:val="none" w:sz="0" w:space="0" w:color="auto"/>
      </w:divBdr>
      <w:divsChild>
        <w:div w:id="1051032101">
          <w:marLeft w:val="0"/>
          <w:marRight w:val="0"/>
          <w:marTop w:val="30"/>
          <w:marBottom w:val="0"/>
          <w:divBdr>
            <w:top w:val="none" w:sz="0" w:space="0" w:color="auto"/>
            <w:left w:val="none" w:sz="0" w:space="0" w:color="auto"/>
            <w:bottom w:val="none" w:sz="0" w:space="0" w:color="auto"/>
            <w:right w:val="none" w:sz="0" w:space="0" w:color="auto"/>
          </w:divBdr>
          <w:divsChild>
            <w:div w:id="1242645537">
              <w:marLeft w:val="0"/>
              <w:marRight w:val="0"/>
              <w:marTop w:val="0"/>
              <w:marBottom w:val="0"/>
              <w:divBdr>
                <w:top w:val="none" w:sz="0" w:space="0" w:color="auto"/>
                <w:left w:val="none" w:sz="0" w:space="0" w:color="auto"/>
                <w:bottom w:val="none" w:sz="0" w:space="0" w:color="auto"/>
                <w:right w:val="none" w:sz="0" w:space="0" w:color="auto"/>
              </w:divBdr>
              <w:divsChild>
                <w:div w:id="335353756">
                  <w:marLeft w:val="0"/>
                  <w:marRight w:val="0"/>
                  <w:marTop w:val="0"/>
                  <w:marBottom w:val="0"/>
                  <w:divBdr>
                    <w:top w:val="none" w:sz="0" w:space="0" w:color="auto"/>
                    <w:left w:val="none" w:sz="0" w:space="0" w:color="auto"/>
                    <w:bottom w:val="none" w:sz="0" w:space="0" w:color="auto"/>
                    <w:right w:val="none" w:sz="0" w:space="0" w:color="auto"/>
                  </w:divBdr>
                  <w:divsChild>
                    <w:div w:id="1906255094">
                      <w:marLeft w:val="-75"/>
                      <w:marRight w:val="-75"/>
                      <w:marTop w:val="0"/>
                      <w:marBottom w:val="0"/>
                      <w:divBdr>
                        <w:top w:val="none" w:sz="0" w:space="0" w:color="auto"/>
                        <w:left w:val="none" w:sz="0" w:space="0" w:color="auto"/>
                        <w:bottom w:val="none" w:sz="0" w:space="0" w:color="auto"/>
                        <w:right w:val="none" w:sz="0" w:space="0" w:color="auto"/>
                      </w:divBdr>
                      <w:divsChild>
                        <w:div w:id="1858304408">
                          <w:marLeft w:val="0"/>
                          <w:marRight w:val="0"/>
                          <w:marTop w:val="0"/>
                          <w:marBottom w:val="0"/>
                          <w:divBdr>
                            <w:top w:val="none" w:sz="0" w:space="0" w:color="auto"/>
                            <w:left w:val="none" w:sz="0" w:space="0" w:color="auto"/>
                            <w:bottom w:val="none" w:sz="0" w:space="0" w:color="auto"/>
                            <w:right w:val="none" w:sz="0" w:space="0" w:color="auto"/>
                          </w:divBdr>
                          <w:divsChild>
                            <w:div w:id="432823202">
                              <w:marLeft w:val="0"/>
                              <w:marRight w:val="0"/>
                              <w:marTop w:val="0"/>
                              <w:marBottom w:val="0"/>
                              <w:divBdr>
                                <w:top w:val="none" w:sz="0" w:space="0" w:color="auto"/>
                                <w:left w:val="single" w:sz="6" w:space="9" w:color="AFAFAA"/>
                                <w:bottom w:val="none" w:sz="0" w:space="0" w:color="auto"/>
                                <w:right w:val="single" w:sz="6" w:space="9" w:color="AFAFAA"/>
                              </w:divBdr>
                              <w:divsChild>
                                <w:div w:id="837111364">
                                  <w:marLeft w:val="0"/>
                                  <w:marRight w:val="0"/>
                                  <w:marTop w:val="0"/>
                                  <w:marBottom w:val="0"/>
                                  <w:divBdr>
                                    <w:top w:val="none" w:sz="0" w:space="0" w:color="auto"/>
                                    <w:left w:val="none" w:sz="0" w:space="0" w:color="auto"/>
                                    <w:bottom w:val="none" w:sz="0" w:space="0" w:color="auto"/>
                                    <w:right w:val="none" w:sz="0" w:space="0" w:color="auto"/>
                                  </w:divBdr>
                                  <w:divsChild>
                                    <w:div w:id="390230132">
                                      <w:marLeft w:val="0"/>
                                      <w:marRight w:val="0"/>
                                      <w:marTop w:val="0"/>
                                      <w:marBottom w:val="0"/>
                                      <w:divBdr>
                                        <w:top w:val="none" w:sz="0" w:space="0" w:color="auto"/>
                                        <w:left w:val="none" w:sz="0" w:space="0" w:color="auto"/>
                                        <w:bottom w:val="none" w:sz="0" w:space="0" w:color="auto"/>
                                        <w:right w:val="none" w:sz="0" w:space="0" w:color="auto"/>
                                      </w:divBdr>
                                      <w:divsChild>
                                        <w:div w:id="1858225440">
                                          <w:marLeft w:val="0"/>
                                          <w:marRight w:val="0"/>
                                          <w:marTop w:val="120"/>
                                          <w:marBottom w:val="0"/>
                                          <w:divBdr>
                                            <w:top w:val="single" w:sz="12" w:space="2" w:color="D5E28D"/>
                                            <w:left w:val="single" w:sz="12" w:space="6" w:color="D5E28D"/>
                                            <w:bottom w:val="single" w:sz="12" w:space="9" w:color="D5E28D"/>
                                            <w:right w:val="single" w:sz="12" w:space="6" w:color="D5E28D"/>
                                          </w:divBdr>
                                        </w:div>
                                        <w:div w:id="1897154926">
                                          <w:marLeft w:val="0"/>
                                          <w:marRight w:val="0"/>
                                          <w:marTop w:val="0"/>
                                          <w:marBottom w:val="0"/>
                                          <w:divBdr>
                                            <w:top w:val="none" w:sz="0" w:space="0" w:color="auto"/>
                                            <w:left w:val="none" w:sz="0" w:space="0" w:color="auto"/>
                                            <w:bottom w:val="none" w:sz="0" w:space="0" w:color="auto"/>
                                            <w:right w:val="none" w:sz="0" w:space="0" w:color="auto"/>
                                          </w:divBdr>
                                          <w:divsChild>
                                            <w:div w:id="210869006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80758842">
                                                  <w:marLeft w:val="0"/>
                                                  <w:marRight w:val="90"/>
                                                  <w:marTop w:val="0"/>
                                                  <w:marBottom w:val="0"/>
                                                  <w:divBdr>
                                                    <w:top w:val="none" w:sz="0" w:space="0" w:color="auto"/>
                                                    <w:left w:val="none" w:sz="0" w:space="0" w:color="auto"/>
                                                    <w:bottom w:val="none" w:sz="0" w:space="0" w:color="auto"/>
                                                    <w:right w:val="none" w:sz="0" w:space="0" w:color="auto"/>
                                                  </w:divBdr>
                                                </w:div>
                                                <w:div w:id="1978146017">
                                                  <w:marLeft w:val="0"/>
                                                  <w:marRight w:val="0"/>
                                                  <w:marTop w:val="0"/>
                                                  <w:marBottom w:val="0"/>
                                                  <w:divBdr>
                                                    <w:top w:val="none" w:sz="0" w:space="0" w:color="auto"/>
                                                    <w:left w:val="none" w:sz="0" w:space="0" w:color="auto"/>
                                                    <w:bottom w:val="none" w:sz="0" w:space="0" w:color="auto"/>
                                                    <w:right w:val="none" w:sz="0" w:space="0" w:color="auto"/>
                                                  </w:divBdr>
                                                </w:div>
                                              </w:divsChild>
                                            </w:div>
                                            <w:div w:id="16808850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60908322">
                                                  <w:marLeft w:val="0"/>
                                                  <w:marRight w:val="90"/>
                                                  <w:marTop w:val="0"/>
                                                  <w:marBottom w:val="0"/>
                                                  <w:divBdr>
                                                    <w:top w:val="none" w:sz="0" w:space="0" w:color="auto"/>
                                                    <w:left w:val="none" w:sz="0" w:space="0" w:color="auto"/>
                                                    <w:bottom w:val="none" w:sz="0" w:space="0" w:color="auto"/>
                                                    <w:right w:val="none" w:sz="0" w:space="0" w:color="auto"/>
                                                  </w:divBdr>
                                                </w:div>
                                                <w:div w:id="7560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5584">
                                      <w:marLeft w:val="0"/>
                                      <w:marRight w:val="0"/>
                                      <w:marTop w:val="120"/>
                                      <w:marBottom w:val="0"/>
                                      <w:divBdr>
                                        <w:top w:val="single" w:sz="12" w:space="2" w:color="D5E28D"/>
                                        <w:left w:val="single" w:sz="12" w:space="6" w:color="D5E28D"/>
                                        <w:bottom w:val="single" w:sz="12" w:space="9" w:color="D5E28D"/>
                                        <w:right w:val="single" w:sz="12" w:space="6" w:color="D5E28D"/>
                                      </w:divBdr>
                                    </w:div>
                                    <w:div w:id="13492854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2850741">
      <w:bodyDiv w:val="1"/>
      <w:marLeft w:val="0"/>
      <w:marRight w:val="0"/>
      <w:marTop w:val="0"/>
      <w:marBottom w:val="0"/>
      <w:divBdr>
        <w:top w:val="none" w:sz="0" w:space="0" w:color="auto"/>
        <w:left w:val="none" w:sz="0" w:space="0" w:color="auto"/>
        <w:bottom w:val="none" w:sz="0" w:space="0" w:color="auto"/>
        <w:right w:val="none" w:sz="0" w:space="0" w:color="auto"/>
      </w:divBdr>
      <w:divsChild>
        <w:div w:id="1027682765">
          <w:marLeft w:val="0"/>
          <w:marRight w:val="0"/>
          <w:marTop w:val="30"/>
          <w:marBottom w:val="0"/>
          <w:divBdr>
            <w:top w:val="none" w:sz="0" w:space="0" w:color="auto"/>
            <w:left w:val="none" w:sz="0" w:space="0" w:color="auto"/>
            <w:bottom w:val="none" w:sz="0" w:space="0" w:color="auto"/>
            <w:right w:val="none" w:sz="0" w:space="0" w:color="auto"/>
          </w:divBdr>
          <w:divsChild>
            <w:div w:id="1565602975">
              <w:marLeft w:val="0"/>
              <w:marRight w:val="0"/>
              <w:marTop w:val="0"/>
              <w:marBottom w:val="0"/>
              <w:divBdr>
                <w:top w:val="none" w:sz="0" w:space="0" w:color="auto"/>
                <w:left w:val="none" w:sz="0" w:space="0" w:color="auto"/>
                <w:bottom w:val="none" w:sz="0" w:space="0" w:color="auto"/>
                <w:right w:val="none" w:sz="0" w:space="0" w:color="auto"/>
              </w:divBdr>
              <w:divsChild>
                <w:div w:id="80838033">
                  <w:marLeft w:val="0"/>
                  <w:marRight w:val="0"/>
                  <w:marTop w:val="0"/>
                  <w:marBottom w:val="0"/>
                  <w:divBdr>
                    <w:top w:val="none" w:sz="0" w:space="0" w:color="auto"/>
                    <w:left w:val="none" w:sz="0" w:space="0" w:color="auto"/>
                    <w:bottom w:val="none" w:sz="0" w:space="0" w:color="auto"/>
                    <w:right w:val="none" w:sz="0" w:space="0" w:color="auto"/>
                  </w:divBdr>
                  <w:divsChild>
                    <w:div w:id="505755528">
                      <w:marLeft w:val="-75"/>
                      <w:marRight w:val="-75"/>
                      <w:marTop w:val="0"/>
                      <w:marBottom w:val="0"/>
                      <w:divBdr>
                        <w:top w:val="none" w:sz="0" w:space="0" w:color="auto"/>
                        <w:left w:val="none" w:sz="0" w:space="0" w:color="auto"/>
                        <w:bottom w:val="none" w:sz="0" w:space="0" w:color="auto"/>
                        <w:right w:val="none" w:sz="0" w:space="0" w:color="auto"/>
                      </w:divBdr>
                      <w:divsChild>
                        <w:div w:id="184833204">
                          <w:marLeft w:val="0"/>
                          <w:marRight w:val="0"/>
                          <w:marTop w:val="0"/>
                          <w:marBottom w:val="0"/>
                          <w:divBdr>
                            <w:top w:val="none" w:sz="0" w:space="0" w:color="auto"/>
                            <w:left w:val="none" w:sz="0" w:space="0" w:color="auto"/>
                            <w:bottom w:val="none" w:sz="0" w:space="0" w:color="auto"/>
                            <w:right w:val="none" w:sz="0" w:space="0" w:color="auto"/>
                          </w:divBdr>
                          <w:divsChild>
                            <w:div w:id="58789849">
                              <w:marLeft w:val="0"/>
                              <w:marRight w:val="0"/>
                              <w:marTop w:val="0"/>
                              <w:marBottom w:val="0"/>
                              <w:divBdr>
                                <w:top w:val="none" w:sz="0" w:space="0" w:color="auto"/>
                                <w:left w:val="single" w:sz="6" w:space="9" w:color="AFAFAA"/>
                                <w:bottom w:val="none" w:sz="0" w:space="0" w:color="auto"/>
                                <w:right w:val="single" w:sz="6" w:space="9" w:color="AFAFAA"/>
                              </w:divBdr>
                              <w:divsChild>
                                <w:div w:id="798954027">
                                  <w:marLeft w:val="0"/>
                                  <w:marRight w:val="0"/>
                                  <w:marTop w:val="0"/>
                                  <w:marBottom w:val="0"/>
                                  <w:divBdr>
                                    <w:top w:val="none" w:sz="0" w:space="0" w:color="auto"/>
                                    <w:left w:val="none" w:sz="0" w:space="0" w:color="auto"/>
                                    <w:bottom w:val="none" w:sz="0" w:space="0" w:color="auto"/>
                                    <w:right w:val="none" w:sz="0" w:space="0" w:color="auto"/>
                                  </w:divBdr>
                                  <w:divsChild>
                                    <w:div w:id="155996454">
                                      <w:marLeft w:val="0"/>
                                      <w:marRight w:val="0"/>
                                      <w:marTop w:val="0"/>
                                      <w:marBottom w:val="0"/>
                                      <w:divBdr>
                                        <w:top w:val="none" w:sz="0" w:space="0" w:color="auto"/>
                                        <w:left w:val="none" w:sz="0" w:space="0" w:color="auto"/>
                                        <w:bottom w:val="none" w:sz="0" w:space="0" w:color="auto"/>
                                        <w:right w:val="none" w:sz="0" w:space="0" w:color="auto"/>
                                      </w:divBdr>
                                      <w:divsChild>
                                        <w:div w:id="20732318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8822253">
      <w:bodyDiv w:val="1"/>
      <w:marLeft w:val="0"/>
      <w:marRight w:val="0"/>
      <w:marTop w:val="0"/>
      <w:marBottom w:val="0"/>
      <w:divBdr>
        <w:top w:val="none" w:sz="0" w:space="0" w:color="auto"/>
        <w:left w:val="none" w:sz="0" w:space="0" w:color="auto"/>
        <w:bottom w:val="none" w:sz="0" w:space="0" w:color="auto"/>
        <w:right w:val="none" w:sz="0" w:space="0" w:color="auto"/>
      </w:divBdr>
      <w:divsChild>
        <w:div w:id="1684699135">
          <w:marLeft w:val="0"/>
          <w:marRight w:val="0"/>
          <w:marTop w:val="30"/>
          <w:marBottom w:val="0"/>
          <w:divBdr>
            <w:top w:val="none" w:sz="0" w:space="0" w:color="auto"/>
            <w:left w:val="none" w:sz="0" w:space="0" w:color="auto"/>
            <w:bottom w:val="none" w:sz="0" w:space="0" w:color="auto"/>
            <w:right w:val="none" w:sz="0" w:space="0" w:color="auto"/>
          </w:divBdr>
          <w:divsChild>
            <w:div w:id="1102333806">
              <w:marLeft w:val="0"/>
              <w:marRight w:val="0"/>
              <w:marTop w:val="0"/>
              <w:marBottom w:val="0"/>
              <w:divBdr>
                <w:top w:val="none" w:sz="0" w:space="0" w:color="auto"/>
                <w:left w:val="none" w:sz="0" w:space="0" w:color="auto"/>
                <w:bottom w:val="none" w:sz="0" w:space="0" w:color="auto"/>
                <w:right w:val="none" w:sz="0" w:space="0" w:color="auto"/>
              </w:divBdr>
              <w:divsChild>
                <w:div w:id="1250189080">
                  <w:marLeft w:val="0"/>
                  <w:marRight w:val="0"/>
                  <w:marTop w:val="0"/>
                  <w:marBottom w:val="0"/>
                  <w:divBdr>
                    <w:top w:val="none" w:sz="0" w:space="0" w:color="auto"/>
                    <w:left w:val="none" w:sz="0" w:space="0" w:color="auto"/>
                    <w:bottom w:val="none" w:sz="0" w:space="0" w:color="auto"/>
                    <w:right w:val="none" w:sz="0" w:space="0" w:color="auto"/>
                  </w:divBdr>
                  <w:divsChild>
                    <w:div w:id="711659179">
                      <w:marLeft w:val="-75"/>
                      <w:marRight w:val="-75"/>
                      <w:marTop w:val="0"/>
                      <w:marBottom w:val="0"/>
                      <w:divBdr>
                        <w:top w:val="none" w:sz="0" w:space="0" w:color="auto"/>
                        <w:left w:val="none" w:sz="0" w:space="0" w:color="auto"/>
                        <w:bottom w:val="none" w:sz="0" w:space="0" w:color="auto"/>
                        <w:right w:val="none" w:sz="0" w:space="0" w:color="auto"/>
                      </w:divBdr>
                      <w:divsChild>
                        <w:div w:id="1010377495">
                          <w:marLeft w:val="0"/>
                          <w:marRight w:val="0"/>
                          <w:marTop w:val="0"/>
                          <w:marBottom w:val="0"/>
                          <w:divBdr>
                            <w:top w:val="none" w:sz="0" w:space="0" w:color="auto"/>
                            <w:left w:val="none" w:sz="0" w:space="0" w:color="auto"/>
                            <w:bottom w:val="none" w:sz="0" w:space="0" w:color="auto"/>
                            <w:right w:val="none" w:sz="0" w:space="0" w:color="auto"/>
                          </w:divBdr>
                          <w:divsChild>
                            <w:div w:id="1544101595">
                              <w:marLeft w:val="0"/>
                              <w:marRight w:val="0"/>
                              <w:marTop w:val="0"/>
                              <w:marBottom w:val="0"/>
                              <w:divBdr>
                                <w:top w:val="none" w:sz="0" w:space="0" w:color="auto"/>
                                <w:left w:val="single" w:sz="6" w:space="9" w:color="AFAFAA"/>
                                <w:bottom w:val="none" w:sz="0" w:space="0" w:color="auto"/>
                                <w:right w:val="single" w:sz="6" w:space="9" w:color="AFAFAA"/>
                              </w:divBdr>
                              <w:divsChild>
                                <w:div w:id="528102469">
                                  <w:marLeft w:val="0"/>
                                  <w:marRight w:val="0"/>
                                  <w:marTop w:val="0"/>
                                  <w:marBottom w:val="0"/>
                                  <w:divBdr>
                                    <w:top w:val="none" w:sz="0" w:space="0" w:color="auto"/>
                                    <w:left w:val="none" w:sz="0" w:space="0" w:color="auto"/>
                                    <w:bottom w:val="none" w:sz="0" w:space="0" w:color="auto"/>
                                    <w:right w:val="none" w:sz="0" w:space="0" w:color="auto"/>
                                  </w:divBdr>
                                  <w:divsChild>
                                    <w:div w:id="890574226">
                                      <w:marLeft w:val="0"/>
                                      <w:marRight w:val="0"/>
                                      <w:marTop w:val="0"/>
                                      <w:marBottom w:val="0"/>
                                      <w:divBdr>
                                        <w:top w:val="none" w:sz="0" w:space="0" w:color="auto"/>
                                        <w:left w:val="none" w:sz="0" w:space="0" w:color="auto"/>
                                        <w:bottom w:val="none" w:sz="0" w:space="0" w:color="auto"/>
                                        <w:right w:val="none" w:sz="0" w:space="0" w:color="auto"/>
                                      </w:divBdr>
                                      <w:divsChild>
                                        <w:div w:id="195987292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84870235">
      <w:bodyDiv w:val="1"/>
      <w:marLeft w:val="0"/>
      <w:marRight w:val="0"/>
      <w:marTop w:val="0"/>
      <w:marBottom w:val="0"/>
      <w:divBdr>
        <w:top w:val="none" w:sz="0" w:space="0" w:color="auto"/>
        <w:left w:val="none" w:sz="0" w:space="0" w:color="auto"/>
        <w:bottom w:val="none" w:sz="0" w:space="0" w:color="auto"/>
        <w:right w:val="none" w:sz="0" w:space="0" w:color="auto"/>
      </w:divBdr>
      <w:divsChild>
        <w:div w:id="1029062810">
          <w:marLeft w:val="0"/>
          <w:marRight w:val="0"/>
          <w:marTop w:val="30"/>
          <w:marBottom w:val="0"/>
          <w:divBdr>
            <w:top w:val="none" w:sz="0" w:space="0" w:color="auto"/>
            <w:left w:val="none" w:sz="0" w:space="0" w:color="auto"/>
            <w:bottom w:val="none" w:sz="0" w:space="0" w:color="auto"/>
            <w:right w:val="none" w:sz="0" w:space="0" w:color="auto"/>
          </w:divBdr>
          <w:divsChild>
            <w:div w:id="2055621328">
              <w:marLeft w:val="0"/>
              <w:marRight w:val="0"/>
              <w:marTop w:val="0"/>
              <w:marBottom w:val="0"/>
              <w:divBdr>
                <w:top w:val="none" w:sz="0" w:space="0" w:color="auto"/>
                <w:left w:val="none" w:sz="0" w:space="0" w:color="auto"/>
                <w:bottom w:val="none" w:sz="0" w:space="0" w:color="auto"/>
                <w:right w:val="none" w:sz="0" w:space="0" w:color="auto"/>
              </w:divBdr>
              <w:divsChild>
                <w:div w:id="1959869003">
                  <w:marLeft w:val="0"/>
                  <w:marRight w:val="0"/>
                  <w:marTop w:val="0"/>
                  <w:marBottom w:val="0"/>
                  <w:divBdr>
                    <w:top w:val="none" w:sz="0" w:space="0" w:color="auto"/>
                    <w:left w:val="none" w:sz="0" w:space="0" w:color="auto"/>
                    <w:bottom w:val="none" w:sz="0" w:space="0" w:color="auto"/>
                    <w:right w:val="none" w:sz="0" w:space="0" w:color="auto"/>
                  </w:divBdr>
                  <w:divsChild>
                    <w:div w:id="1897932859">
                      <w:marLeft w:val="-75"/>
                      <w:marRight w:val="-75"/>
                      <w:marTop w:val="0"/>
                      <w:marBottom w:val="0"/>
                      <w:divBdr>
                        <w:top w:val="none" w:sz="0" w:space="0" w:color="auto"/>
                        <w:left w:val="none" w:sz="0" w:space="0" w:color="auto"/>
                        <w:bottom w:val="none" w:sz="0" w:space="0" w:color="auto"/>
                        <w:right w:val="none" w:sz="0" w:space="0" w:color="auto"/>
                      </w:divBdr>
                      <w:divsChild>
                        <w:div w:id="254442864">
                          <w:marLeft w:val="0"/>
                          <w:marRight w:val="0"/>
                          <w:marTop w:val="0"/>
                          <w:marBottom w:val="0"/>
                          <w:divBdr>
                            <w:top w:val="none" w:sz="0" w:space="0" w:color="auto"/>
                            <w:left w:val="none" w:sz="0" w:space="0" w:color="auto"/>
                            <w:bottom w:val="none" w:sz="0" w:space="0" w:color="auto"/>
                            <w:right w:val="none" w:sz="0" w:space="0" w:color="auto"/>
                          </w:divBdr>
                          <w:divsChild>
                            <w:div w:id="1806964691">
                              <w:marLeft w:val="0"/>
                              <w:marRight w:val="0"/>
                              <w:marTop w:val="0"/>
                              <w:marBottom w:val="0"/>
                              <w:divBdr>
                                <w:top w:val="none" w:sz="0" w:space="0" w:color="auto"/>
                                <w:left w:val="single" w:sz="6" w:space="9" w:color="AFAFAA"/>
                                <w:bottom w:val="none" w:sz="0" w:space="0" w:color="auto"/>
                                <w:right w:val="single" w:sz="6" w:space="9" w:color="AFAFAA"/>
                              </w:divBdr>
                              <w:divsChild>
                                <w:div w:id="159539436">
                                  <w:marLeft w:val="0"/>
                                  <w:marRight w:val="0"/>
                                  <w:marTop w:val="0"/>
                                  <w:marBottom w:val="0"/>
                                  <w:divBdr>
                                    <w:top w:val="none" w:sz="0" w:space="0" w:color="auto"/>
                                    <w:left w:val="none" w:sz="0" w:space="0" w:color="auto"/>
                                    <w:bottom w:val="none" w:sz="0" w:space="0" w:color="auto"/>
                                    <w:right w:val="none" w:sz="0" w:space="0" w:color="auto"/>
                                  </w:divBdr>
                                  <w:divsChild>
                                    <w:div w:id="1481924351">
                                      <w:marLeft w:val="0"/>
                                      <w:marRight w:val="0"/>
                                      <w:marTop w:val="0"/>
                                      <w:marBottom w:val="0"/>
                                      <w:divBdr>
                                        <w:top w:val="none" w:sz="0" w:space="0" w:color="auto"/>
                                        <w:left w:val="none" w:sz="0" w:space="0" w:color="auto"/>
                                        <w:bottom w:val="none" w:sz="0" w:space="0" w:color="auto"/>
                                        <w:right w:val="none" w:sz="0" w:space="0" w:color="auto"/>
                                      </w:divBdr>
                                      <w:divsChild>
                                        <w:div w:id="44751048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38990740">
      <w:bodyDiv w:val="1"/>
      <w:marLeft w:val="0"/>
      <w:marRight w:val="0"/>
      <w:marTop w:val="0"/>
      <w:marBottom w:val="0"/>
      <w:divBdr>
        <w:top w:val="none" w:sz="0" w:space="0" w:color="auto"/>
        <w:left w:val="none" w:sz="0" w:space="0" w:color="auto"/>
        <w:bottom w:val="none" w:sz="0" w:space="0" w:color="auto"/>
        <w:right w:val="none" w:sz="0" w:space="0" w:color="auto"/>
      </w:divBdr>
      <w:divsChild>
        <w:div w:id="1115366692">
          <w:marLeft w:val="0"/>
          <w:marRight w:val="0"/>
          <w:marTop w:val="30"/>
          <w:marBottom w:val="0"/>
          <w:divBdr>
            <w:top w:val="none" w:sz="0" w:space="0" w:color="auto"/>
            <w:left w:val="none" w:sz="0" w:space="0" w:color="auto"/>
            <w:bottom w:val="none" w:sz="0" w:space="0" w:color="auto"/>
            <w:right w:val="none" w:sz="0" w:space="0" w:color="auto"/>
          </w:divBdr>
          <w:divsChild>
            <w:div w:id="1550066956">
              <w:marLeft w:val="0"/>
              <w:marRight w:val="0"/>
              <w:marTop w:val="0"/>
              <w:marBottom w:val="0"/>
              <w:divBdr>
                <w:top w:val="none" w:sz="0" w:space="0" w:color="auto"/>
                <w:left w:val="none" w:sz="0" w:space="0" w:color="auto"/>
                <w:bottom w:val="none" w:sz="0" w:space="0" w:color="auto"/>
                <w:right w:val="none" w:sz="0" w:space="0" w:color="auto"/>
              </w:divBdr>
              <w:divsChild>
                <w:div w:id="1849901206">
                  <w:marLeft w:val="0"/>
                  <w:marRight w:val="0"/>
                  <w:marTop w:val="0"/>
                  <w:marBottom w:val="0"/>
                  <w:divBdr>
                    <w:top w:val="none" w:sz="0" w:space="0" w:color="auto"/>
                    <w:left w:val="none" w:sz="0" w:space="0" w:color="auto"/>
                    <w:bottom w:val="none" w:sz="0" w:space="0" w:color="auto"/>
                    <w:right w:val="none" w:sz="0" w:space="0" w:color="auto"/>
                  </w:divBdr>
                  <w:divsChild>
                    <w:div w:id="1691757470">
                      <w:marLeft w:val="-75"/>
                      <w:marRight w:val="-75"/>
                      <w:marTop w:val="0"/>
                      <w:marBottom w:val="0"/>
                      <w:divBdr>
                        <w:top w:val="none" w:sz="0" w:space="0" w:color="auto"/>
                        <w:left w:val="none" w:sz="0" w:space="0" w:color="auto"/>
                        <w:bottom w:val="none" w:sz="0" w:space="0" w:color="auto"/>
                        <w:right w:val="none" w:sz="0" w:space="0" w:color="auto"/>
                      </w:divBdr>
                      <w:divsChild>
                        <w:div w:id="1256011599">
                          <w:marLeft w:val="0"/>
                          <w:marRight w:val="0"/>
                          <w:marTop w:val="0"/>
                          <w:marBottom w:val="0"/>
                          <w:divBdr>
                            <w:top w:val="none" w:sz="0" w:space="0" w:color="auto"/>
                            <w:left w:val="none" w:sz="0" w:space="0" w:color="auto"/>
                            <w:bottom w:val="none" w:sz="0" w:space="0" w:color="auto"/>
                            <w:right w:val="none" w:sz="0" w:space="0" w:color="auto"/>
                          </w:divBdr>
                          <w:divsChild>
                            <w:div w:id="796145313">
                              <w:marLeft w:val="0"/>
                              <w:marRight w:val="0"/>
                              <w:marTop w:val="0"/>
                              <w:marBottom w:val="0"/>
                              <w:divBdr>
                                <w:top w:val="none" w:sz="0" w:space="0" w:color="auto"/>
                                <w:left w:val="single" w:sz="6" w:space="9" w:color="AFAFAA"/>
                                <w:bottom w:val="none" w:sz="0" w:space="0" w:color="auto"/>
                                <w:right w:val="single" w:sz="6" w:space="9" w:color="AFAFAA"/>
                              </w:divBdr>
                              <w:divsChild>
                                <w:div w:id="310864161">
                                  <w:marLeft w:val="0"/>
                                  <w:marRight w:val="0"/>
                                  <w:marTop w:val="0"/>
                                  <w:marBottom w:val="0"/>
                                  <w:divBdr>
                                    <w:top w:val="none" w:sz="0" w:space="0" w:color="auto"/>
                                    <w:left w:val="none" w:sz="0" w:space="0" w:color="auto"/>
                                    <w:bottom w:val="none" w:sz="0" w:space="0" w:color="auto"/>
                                    <w:right w:val="none" w:sz="0" w:space="0" w:color="auto"/>
                                  </w:divBdr>
                                  <w:divsChild>
                                    <w:div w:id="1506041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9422628">
      <w:bodyDiv w:val="1"/>
      <w:marLeft w:val="0"/>
      <w:marRight w:val="0"/>
      <w:marTop w:val="0"/>
      <w:marBottom w:val="0"/>
      <w:divBdr>
        <w:top w:val="none" w:sz="0" w:space="0" w:color="auto"/>
        <w:left w:val="none" w:sz="0" w:space="0" w:color="auto"/>
        <w:bottom w:val="none" w:sz="0" w:space="0" w:color="auto"/>
        <w:right w:val="none" w:sz="0" w:space="0" w:color="auto"/>
      </w:divBdr>
      <w:divsChild>
        <w:div w:id="397752400">
          <w:marLeft w:val="0"/>
          <w:marRight w:val="0"/>
          <w:marTop w:val="30"/>
          <w:marBottom w:val="0"/>
          <w:divBdr>
            <w:top w:val="none" w:sz="0" w:space="0" w:color="auto"/>
            <w:left w:val="none" w:sz="0" w:space="0" w:color="auto"/>
            <w:bottom w:val="none" w:sz="0" w:space="0" w:color="auto"/>
            <w:right w:val="none" w:sz="0" w:space="0" w:color="auto"/>
          </w:divBdr>
          <w:divsChild>
            <w:div w:id="387532839">
              <w:marLeft w:val="0"/>
              <w:marRight w:val="0"/>
              <w:marTop w:val="0"/>
              <w:marBottom w:val="0"/>
              <w:divBdr>
                <w:top w:val="none" w:sz="0" w:space="0" w:color="auto"/>
                <w:left w:val="none" w:sz="0" w:space="0" w:color="auto"/>
                <w:bottom w:val="none" w:sz="0" w:space="0" w:color="auto"/>
                <w:right w:val="none" w:sz="0" w:space="0" w:color="auto"/>
              </w:divBdr>
              <w:divsChild>
                <w:div w:id="1767115791">
                  <w:marLeft w:val="0"/>
                  <w:marRight w:val="0"/>
                  <w:marTop w:val="0"/>
                  <w:marBottom w:val="0"/>
                  <w:divBdr>
                    <w:top w:val="none" w:sz="0" w:space="0" w:color="auto"/>
                    <w:left w:val="none" w:sz="0" w:space="0" w:color="auto"/>
                    <w:bottom w:val="none" w:sz="0" w:space="0" w:color="auto"/>
                    <w:right w:val="none" w:sz="0" w:space="0" w:color="auto"/>
                  </w:divBdr>
                  <w:divsChild>
                    <w:div w:id="637153019">
                      <w:marLeft w:val="-75"/>
                      <w:marRight w:val="-75"/>
                      <w:marTop w:val="0"/>
                      <w:marBottom w:val="0"/>
                      <w:divBdr>
                        <w:top w:val="none" w:sz="0" w:space="0" w:color="auto"/>
                        <w:left w:val="none" w:sz="0" w:space="0" w:color="auto"/>
                        <w:bottom w:val="none" w:sz="0" w:space="0" w:color="auto"/>
                        <w:right w:val="none" w:sz="0" w:space="0" w:color="auto"/>
                      </w:divBdr>
                      <w:divsChild>
                        <w:div w:id="554857401">
                          <w:marLeft w:val="0"/>
                          <w:marRight w:val="0"/>
                          <w:marTop w:val="0"/>
                          <w:marBottom w:val="0"/>
                          <w:divBdr>
                            <w:top w:val="none" w:sz="0" w:space="0" w:color="auto"/>
                            <w:left w:val="none" w:sz="0" w:space="0" w:color="auto"/>
                            <w:bottom w:val="none" w:sz="0" w:space="0" w:color="auto"/>
                            <w:right w:val="none" w:sz="0" w:space="0" w:color="auto"/>
                          </w:divBdr>
                          <w:divsChild>
                            <w:div w:id="1036352151">
                              <w:marLeft w:val="0"/>
                              <w:marRight w:val="0"/>
                              <w:marTop w:val="0"/>
                              <w:marBottom w:val="0"/>
                              <w:divBdr>
                                <w:top w:val="none" w:sz="0" w:space="0" w:color="auto"/>
                                <w:left w:val="single" w:sz="6" w:space="9" w:color="AFAFAA"/>
                                <w:bottom w:val="none" w:sz="0" w:space="0" w:color="auto"/>
                                <w:right w:val="single" w:sz="6" w:space="9" w:color="AFAFAA"/>
                              </w:divBdr>
                              <w:divsChild>
                                <w:div w:id="1964456345">
                                  <w:marLeft w:val="0"/>
                                  <w:marRight w:val="0"/>
                                  <w:marTop w:val="0"/>
                                  <w:marBottom w:val="0"/>
                                  <w:divBdr>
                                    <w:top w:val="none" w:sz="0" w:space="0" w:color="auto"/>
                                    <w:left w:val="none" w:sz="0" w:space="0" w:color="auto"/>
                                    <w:bottom w:val="none" w:sz="0" w:space="0" w:color="auto"/>
                                    <w:right w:val="none" w:sz="0" w:space="0" w:color="auto"/>
                                  </w:divBdr>
                                  <w:divsChild>
                                    <w:div w:id="178542481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81366664">
                                          <w:marLeft w:val="0"/>
                                          <w:marRight w:val="0"/>
                                          <w:marTop w:val="0"/>
                                          <w:marBottom w:val="200"/>
                                          <w:divBdr>
                                            <w:top w:val="none" w:sz="0" w:space="0" w:color="auto"/>
                                            <w:left w:val="none" w:sz="0" w:space="0" w:color="auto"/>
                                            <w:bottom w:val="none" w:sz="0" w:space="0" w:color="auto"/>
                                            <w:right w:val="none" w:sz="0" w:space="0" w:color="auto"/>
                                          </w:divBdr>
                                        </w:div>
                                        <w:div w:id="1163810887">
                                          <w:marLeft w:val="0"/>
                                          <w:marRight w:val="0"/>
                                          <w:marTop w:val="0"/>
                                          <w:marBottom w:val="200"/>
                                          <w:divBdr>
                                            <w:top w:val="none" w:sz="0" w:space="0" w:color="auto"/>
                                            <w:left w:val="none" w:sz="0" w:space="0" w:color="auto"/>
                                            <w:bottom w:val="none" w:sz="0" w:space="0" w:color="auto"/>
                                            <w:right w:val="none" w:sz="0" w:space="0" w:color="auto"/>
                                          </w:divBdr>
                                        </w:div>
                                        <w:div w:id="97498924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trustee-expenses-and-payments-cc11/trustee-expenses-and-payments" TargetMode="External"/><Relationship Id="rId18" Type="http://schemas.openxmlformats.org/officeDocument/2006/relationships/hyperlink" Target="https://www.gov.uk/government/publications/trustee-expenses-and-payments-cc11/trustee-expenses-and-paymen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overnment/publications/complaints-about-charities" TargetMode="External"/><Relationship Id="rId7" Type="http://schemas.openxmlformats.org/officeDocument/2006/relationships/endnotes" Target="endnotes.xml"/><Relationship Id="rId12" Type="http://schemas.openxmlformats.org/officeDocument/2006/relationships/hyperlink" Target="https://www.gov.uk/payments-to-charity-trustees-what-the-rules-are" TargetMode="External"/><Relationship Id="rId17" Type="http://schemas.openxmlformats.org/officeDocument/2006/relationships/hyperlink" Target="https://www.gov.uk/government/publications/trustee-expenses-and-payments-cc11"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gov.uk/government/publications/trustee-expenses-and-payments-cc11/trustee-expenses-and-payments" TargetMode="External"/><Relationship Id="rId20" Type="http://schemas.openxmlformats.org/officeDocument/2006/relationships/hyperlink" Target="https://forms.charitycommission.gov.uk/enquiry-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rustee-expenses-and-payments-cc11/trustee-expenses-and-paym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orms.charitycommission.gov.uk/enquiry-form/" TargetMode="External"/><Relationship Id="rId23" Type="http://schemas.openxmlformats.org/officeDocument/2006/relationships/footer" Target="footer1.xml"/><Relationship Id="rId10" Type="http://schemas.openxmlformats.org/officeDocument/2006/relationships/hyperlink" Target="https://www.gov.uk/government/publications/trustee-expenses-and-payments-cc11/trustee-expenses-and-payments" TargetMode="External"/><Relationship Id="rId19" Type="http://schemas.openxmlformats.org/officeDocument/2006/relationships/hyperlink" Target="https://forms.charitycommission.gov.uk/pay-a-trustee-for-providing-a-service-to-the-charity/" TargetMode="External"/><Relationship Id="rId4" Type="http://schemas.openxmlformats.org/officeDocument/2006/relationships/settings" Target="settings.xml"/><Relationship Id="rId9" Type="http://schemas.openxmlformats.org/officeDocument/2006/relationships/hyperlink" Target="http://lawcommission.justice.gov.uk/docs/cp220_charities_technical.pdf" TargetMode="External"/><Relationship Id="rId14" Type="http://schemas.openxmlformats.org/officeDocument/2006/relationships/hyperlink" Target="https://forms.charitycommission.gov.uk/pay-a-trustee-for-providing-a-service-to-the-charity/" TargetMode="External"/><Relationship Id="rId22" Type="http://schemas.openxmlformats.org/officeDocument/2006/relationships/hyperlink" Target="https://www.gov.uk/government/publications/trustee-expenses-and-payments-cc11/trustee-expenses-and-pay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C824EA809B4E928D1AAC9294B34078"/>
        <w:category>
          <w:name w:val="General"/>
          <w:gallery w:val="placeholder"/>
        </w:category>
        <w:types>
          <w:type w:val="bbPlcHdr"/>
        </w:types>
        <w:behaviors>
          <w:behavior w:val="content"/>
        </w:behaviors>
        <w:guid w:val="{40B61B9A-4EB7-4875-B522-D7216594F099}"/>
      </w:docPartPr>
      <w:docPartBody>
        <w:p w:rsidR="00DE6ACF" w:rsidRDefault="002614E1" w:rsidP="002614E1">
          <w:pPr>
            <w:pStyle w:val="A3C824EA809B4E928D1AAC9294B34078"/>
          </w:pPr>
          <w:r>
            <w:rPr>
              <w:rFonts w:asciiTheme="majorHAnsi" w:eastAsiaTheme="majorEastAsia" w:hAnsiTheme="majorHAnsi" w:cstheme="majorBidi"/>
              <w:color w:val="156082" w:themeColor="accent1"/>
              <w:sz w:val="88"/>
              <w:szCs w:val="88"/>
            </w:rPr>
            <w:t>[Document title]</w:t>
          </w:r>
        </w:p>
      </w:docPartBody>
    </w:docPart>
    <w:docPart>
      <w:docPartPr>
        <w:name w:val="E8D754CFF9A14AE489840CD3556F3799"/>
        <w:category>
          <w:name w:val="General"/>
          <w:gallery w:val="placeholder"/>
        </w:category>
        <w:types>
          <w:type w:val="bbPlcHdr"/>
        </w:types>
        <w:behaviors>
          <w:behavior w:val="content"/>
        </w:behaviors>
        <w:guid w:val="{2498E3AC-323A-4D02-9040-8BC07D216601}"/>
      </w:docPartPr>
      <w:docPartBody>
        <w:p w:rsidR="00DE6ACF" w:rsidRDefault="002614E1" w:rsidP="002614E1">
          <w:pPr>
            <w:pStyle w:val="E8D754CFF9A14AE489840CD3556F3799"/>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E1"/>
    <w:rsid w:val="002614E1"/>
    <w:rsid w:val="002A3C01"/>
    <w:rsid w:val="00AB17E6"/>
    <w:rsid w:val="00DE6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C824EA809B4E928D1AAC9294B34078">
    <w:name w:val="A3C824EA809B4E928D1AAC9294B34078"/>
    <w:rsid w:val="002614E1"/>
  </w:style>
  <w:style w:type="paragraph" w:customStyle="1" w:styleId="E8D754CFF9A14AE489840CD3556F3799">
    <w:name w:val="E8D754CFF9A14AE489840CD3556F3799"/>
    <w:rsid w:val="00261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A9901259</value>
    </field>
    <field name="Objective-Title">
      <value order="0">OG515-2 - Web - 12122019</value>
    </field>
    <field name="Objective-Description">
      <value order="0"/>
    </field>
    <field name="Objective-CreationStamp">
      <value order="0">2019-12-12T10:35:01Z</value>
    </field>
    <field name="Objective-IsApproved">
      <value order="0">false</value>
    </field>
    <field name="Objective-IsPublished">
      <value order="0">false</value>
    </field>
    <field name="Objective-DatePublished">
      <value order="0"/>
    </field>
    <field name="Objective-ModificationStamp">
      <value order="0">2024-03-20T16:14:12Z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vA16294306</value>
    </field>
    <field name="Objective-Version">
      <value order="0">5.1</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OG515-2 -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4286</Words>
  <Characters>24433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Statutory Power to Pay for Goods and /or Services Provided by a Trustee</dc:title>
  <dc:subject>OG515-2</dc:subject>
  <dc:creator>George Bateman</dc:creator>
  <cp:keywords/>
  <dc:description/>
  <cp:lastModifiedBy>Phestus Mokae</cp:lastModifiedBy>
  <cp:revision>5</cp:revision>
  <dcterms:created xsi:type="dcterms:W3CDTF">2025-06-16T07:27:00Z</dcterms:created>
  <dcterms:modified xsi:type="dcterms:W3CDTF">2025-06-16T07:28:00Z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A9901259</vt:lpwstr>
  </property>
  <property fmtid="{D5CDD505-2E9C-101B-9397-08002B2CF9AE}" pid="4" name="Objective-Title">
    <vt:lpwstr>OG515-2 - Web - 12122019</vt:lpwstr>
  </property>
  <property fmtid="{D5CDD505-2E9C-101B-9397-08002B2CF9AE}" pid="5" name="Objective-Description">
    <vt:lpwstr/>
  </property>
  <property fmtid="{D5CDD505-2E9C-101B-9397-08002B2CF9AE}" pid="6" name="Objective-CreationStamp">
    <vt:filetime>2019-12-12T16:01:17Z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2024-03-20T16:14:12Z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vA16294306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OG515-2 -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