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26797272"/>
        <w:docPartObj>
          <w:docPartGallery w:val="Cover Pages"/>
          <w:docPartUnique/>
        </w:docPartObj>
      </w:sdtPr>
      <w:sdtEndPr>
        <w:rPr>
          <w:rFonts w:cs="Arial"/>
          <w:b/>
          <w:bCs/>
          <w:color w:val="000000" w:themeColor="text1"/>
        </w:rPr>
      </w:sdtEndPr>
      <w:sdtContent>
        <w:p w14:paraId="1651800C" w14:textId="7B6C6DCE" w:rsidR="00EE2111" w:rsidRDefault="00EE2111">
          <w:r>
            <w:rPr>
              <w:noProof/>
            </w:rPr>
            <w:drawing>
              <wp:inline distT="0" distB="0" distL="0" distR="0" wp14:anchorId="2C52FB71" wp14:editId="0684E636">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EE2111" w:rsidRPr="00D61E62" w14:paraId="4C071587" w14:textId="77777777" w:rsidTr="008B770A">
            <w:trPr>
              <w:trHeight w:val="53"/>
            </w:trPr>
            <w:tc>
              <w:tcPr>
                <w:tcW w:w="8025" w:type="dxa"/>
                <w:tcMar>
                  <w:top w:w="216" w:type="dxa"/>
                  <w:left w:w="115" w:type="dxa"/>
                  <w:bottom w:w="216" w:type="dxa"/>
                  <w:right w:w="115" w:type="dxa"/>
                </w:tcMar>
              </w:tcPr>
              <w:p w14:paraId="4FAA1C28" w14:textId="77777777" w:rsidR="00EE2111" w:rsidRPr="00D61E62" w:rsidRDefault="00EE2111">
                <w:pPr>
                  <w:pStyle w:val="NoSpacing"/>
                  <w:rPr>
                    <w:color w:val="002060"/>
                    <w:sz w:val="24"/>
                  </w:rPr>
                </w:pPr>
              </w:p>
            </w:tc>
          </w:tr>
          <w:tr w:rsidR="00EE2111" w:rsidRPr="00D61E62" w14:paraId="786ED76C" w14:textId="77777777" w:rsidTr="008B770A">
            <w:trPr>
              <w:trHeight w:val="392"/>
            </w:trPr>
            <w:tc>
              <w:tcPr>
                <w:tcW w:w="8025" w:type="dxa"/>
              </w:tcPr>
              <w:sdt>
                <w:sdtPr>
                  <w:rPr>
                    <w:rFonts w:ascii="Arial" w:eastAsiaTheme="majorEastAsia" w:hAnsi="Arial" w:cs="Arial"/>
                    <w:color w:val="002060"/>
                    <w:sz w:val="72"/>
                    <w:szCs w:val="72"/>
                  </w:rPr>
                  <w:alias w:val="Title"/>
                  <w:id w:val="13406919"/>
                  <w:placeholder>
                    <w:docPart w:val="50F17F43639B434A86C9BCD1CA9033A3"/>
                  </w:placeholder>
                  <w:dataBinding w:prefixMappings="xmlns:ns0='http://schemas.openxmlformats.org/package/2006/metadata/core-properties' xmlns:ns1='http://purl.org/dc/elements/1.1/'" w:xpath="/ns0:coreProperties[1]/ns1:title[1]" w:storeItemID="{6C3C8BC8-F283-45AE-878A-BAB7291924A1}"/>
                  <w:text/>
                </w:sdtPr>
                <w:sdtEndPr/>
                <w:sdtContent>
                  <w:p w14:paraId="46D1C491" w14:textId="335EF2C8" w:rsidR="00EE2111" w:rsidRPr="00D61E62" w:rsidRDefault="00EE2111">
                    <w:pPr>
                      <w:pStyle w:val="NoSpacing"/>
                      <w:spacing w:line="216" w:lineRule="auto"/>
                      <w:rPr>
                        <w:rFonts w:ascii="Arial" w:eastAsiaTheme="majorEastAsia" w:hAnsi="Arial" w:cs="Arial"/>
                        <w:color w:val="002060"/>
                        <w:sz w:val="88"/>
                        <w:szCs w:val="88"/>
                      </w:rPr>
                    </w:pPr>
                    <w:r w:rsidRPr="00EE2111">
                      <w:rPr>
                        <w:rFonts w:ascii="Arial" w:eastAsiaTheme="majorEastAsia" w:hAnsi="Arial" w:cs="Arial"/>
                        <w:color w:val="002060"/>
                        <w:sz w:val="72"/>
                        <w:szCs w:val="72"/>
                      </w:rPr>
                      <w:t>Charities Act 2011 s.181A-Power to disqualify from being a trustee</w:t>
                    </w:r>
                  </w:p>
                </w:sdtContent>
              </w:sdt>
            </w:tc>
          </w:tr>
          <w:tr w:rsidR="00EE2111" w:rsidRPr="00D61E62" w14:paraId="1611C0D6" w14:textId="77777777" w:rsidTr="008B770A">
            <w:trPr>
              <w:trHeight w:val="392"/>
            </w:trPr>
            <w:tc>
              <w:tcPr>
                <w:tcW w:w="8025" w:type="dxa"/>
              </w:tcPr>
              <w:p w14:paraId="4F4B47E3" w14:textId="77777777" w:rsidR="00EE2111" w:rsidRPr="00D61E62" w:rsidRDefault="00EE2111">
                <w:pPr>
                  <w:pStyle w:val="NoSpacing"/>
                  <w:spacing w:line="216" w:lineRule="auto"/>
                  <w:rPr>
                    <w:rFonts w:ascii="Arial" w:eastAsiaTheme="majorEastAsia" w:hAnsi="Arial" w:cs="Arial"/>
                    <w:color w:val="002060"/>
                    <w:sz w:val="88"/>
                    <w:szCs w:val="88"/>
                  </w:rPr>
                </w:pPr>
              </w:p>
            </w:tc>
          </w:tr>
          <w:tr w:rsidR="00EE2111" w:rsidRPr="00D61E62" w14:paraId="4D40F2C9" w14:textId="77777777" w:rsidTr="008B770A">
            <w:trPr>
              <w:trHeight w:val="89"/>
            </w:trPr>
            <w:sdt>
              <w:sdtPr>
                <w:rPr>
                  <w:rFonts w:ascii="Arial" w:hAnsi="Arial" w:cs="Arial"/>
                  <w:color w:val="002060"/>
                  <w:sz w:val="56"/>
                  <w:szCs w:val="56"/>
                </w:rPr>
                <w:alias w:val="Subtitle"/>
                <w:id w:val="13406923"/>
                <w:placeholder>
                  <w:docPart w:val="4B409E2D294343C8B9EC00FBACF889E5"/>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421F7E66" w14:textId="2B430DBE" w:rsidR="00EE2111" w:rsidRPr="00D61E62" w:rsidRDefault="00EE2111">
                    <w:pPr>
                      <w:pStyle w:val="NoSpacing"/>
                      <w:rPr>
                        <w:color w:val="002060"/>
                        <w:sz w:val="24"/>
                      </w:rPr>
                    </w:pPr>
                    <w:r>
                      <w:rPr>
                        <w:rFonts w:ascii="Arial" w:hAnsi="Arial" w:cs="Arial"/>
                        <w:color w:val="002060"/>
                        <w:sz w:val="56"/>
                        <w:szCs w:val="56"/>
                      </w:rPr>
                      <w:t>OG525</w:t>
                    </w:r>
                  </w:p>
                </w:tc>
              </w:sdtContent>
            </w:sdt>
          </w:tr>
          <w:tr w:rsidR="00EE2111" w:rsidRPr="00D61E62" w14:paraId="7F662001" w14:textId="77777777" w:rsidTr="008B770A">
            <w:trPr>
              <w:trHeight w:val="89"/>
            </w:trPr>
            <w:tc>
              <w:tcPr>
                <w:tcW w:w="8025" w:type="dxa"/>
                <w:tcMar>
                  <w:top w:w="216" w:type="dxa"/>
                  <w:left w:w="115" w:type="dxa"/>
                  <w:bottom w:w="216" w:type="dxa"/>
                  <w:right w:w="115" w:type="dxa"/>
                </w:tcMar>
              </w:tcPr>
              <w:p w14:paraId="4FAED9CB" w14:textId="77777777" w:rsidR="00EE2111" w:rsidRDefault="00EE2111">
                <w:pPr>
                  <w:pStyle w:val="NoSpacing"/>
                  <w:rPr>
                    <w:rFonts w:ascii="Arial" w:hAnsi="Arial" w:cs="Arial"/>
                    <w:color w:val="002060"/>
                    <w:sz w:val="40"/>
                    <w:szCs w:val="40"/>
                  </w:rPr>
                </w:pPr>
              </w:p>
              <w:p w14:paraId="01E6133F" w14:textId="77777777" w:rsidR="00EE2111" w:rsidRDefault="00EE2111">
                <w:pPr>
                  <w:pStyle w:val="NoSpacing"/>
                  <w:rPr>
                    <w:rFonts w:ascii="Arial" w:hAnsi="Arial" w:cs="Arial"/>
                    <w:color w:val="002060"/>
                    <w:sz w:val="40"/>
                    <w:szCs w:val="40"/>
                  </w:rPr>
                </w:pPr>
              </w:p>
              <w:p w14:paraId="727D0AD6" w14:textId="2F9344BB" w:rsidR="00EE2111" w:rsidRDefault="00EE2111">
                <w:pPr>
                  <w:pStyle w:val="NoSpacing"/>
                  <w:rPr>
                    <w:rFonts w:ascii="Arial" w:hAnsi="Arial" w:cs="Arial"/>
                    <w:color w:val="002060"/>
                    <w:sz w:val="40"/>
                    <w:szCs w:val="40"/>
                  </w:rPr>
                </w:pPr>
                <w:r>
                  <w:rPr>
                    <w:rFonts w:ascii="Arial" w:hAnsi="Arial" w:cs="Arial"/>
                    <w:color w:val="002060"/>
                    <w:sz w:val="40"/>
                    <w:szCs w:val="40"/>
                  </w:rPr>
                  <w:t xml:space="preserve">Last Updated: </w:t>
                </w:r>
              </w:p>
              <w:p w14:paraId="4215A15D" w14:textId="77777777" w:rsidR="00EE2111" w:rsidRDefault="00EE2111">
                <w:pPr>
                  <w:pStyle w:val="NoSpacing"/>
                  <w:rPr>
                    <w:rFonts w:ascii="Arial" w:hAnsi="Arial" w:cs="Arial"/>
                    <w:color w:val="002060"/>
                    <w:sz w:val="40"/>
                    <w:szCs w:val="40"/>
                  </w:rPr>
                </w:pPr>
              </w:p>
              <w:p w14:paraId="6982634B" w14:textId="77777777" w:rsidR="00EE2111" w:rsidRDefault="00EE2111">
                <w:pPr>
                  <w:pStyle w:val="NoSpacing"/>
                  <w:rPr>
                    <w:rFonts w:ascii="Arial" w:hAnsi="Arial" w:cs="Arial"/>
                    <w:color w:val="002060"/>
                    <w:sz w:val="40"/>
                    <w:szCs w:val="40"/>
                  </w:rPr>
                </w:pPr>
              </w:p>
              <w:p w14:paraId="4A281979" w14:textId="40C866DC" w:rsidR="00EE2111" w:rsidRPr="00D61E62" w:rsidRDefault="00EE2111">
                <w:pPr>
                  <w:pStyle w:val="NoSpacing"/>
                  <w:rPr>
                    <w:rFonts w:ascii="Arial" w:hAnsi="Arial" w:cs="Arial"/>
                    <w:color w:val="002060"/>
                    <w:sz w:val="40"/>
                    <w:szCs w:val="40"/>
                  </w:rPr>
                </w:pPr>
                <w:r>
                  <w:rPr>
                    <w:rFonts w:ascii="Arial" w:hAnsi="Arial" w:cs="Arial"/>
                    <w:color w:val="002060"/>
                    <w:sz w:val="40"/>
                    <w:szCs w:val="40"/>
                  </w:rPr>
                  <w:t xml:space="preserve">Last Reviewed: </w:t>
                </w:r>
              </w:p>
            </w:tc>
          </w:tr>
          <w:tr w:rsidR="00EE2111" w:rsidRPr="00D61E62" w14:paraId="2D6850ED" w14:textId="77777777" w:rsidTr="008B770A">
            <w:trPr>
              <w:trHeight w:val="89"/>
            </w:trPr>
            <w:tc>
              <w:tcPr>
                <w:tcW w:w="8025" w:type="dxa"/>
                <w:tcMar>
                  <w:top w:w="216" w:type="dxa"/>
                  <w:left w:w="115" w:type="dxa"/>
                  <w:bottom w:w="216" w:type="dxa"/>
                  <w:right w:w="115" w:type="dxa"/>
                </w:tcMar>
              </w:tcPr>
              <w:p w14:paraId="0BE6B988" w14:textId="77777777" w:rsidR="00EE2111" w:rsidRPr="00D61E62" w:rsidRDefault="00EE2111">
                <w:pPr>
                  <w:pStyle w:val="NoSpacing"/>
                  <w:rPr>
                    <w:rFonts w:ascii="Arial" w:hAnsi="Arial" w:cs="Arial"/>
                    <w:color w:val="002060"/>
                    <w:sz w:val="40"/>
                    <w:szCs w:val="40"/>
                  </w:rPr>
                </w:pPr>
              </w:p>
            </w:tc>
          </w:tr>
          <w:tr w:rsidR="00EE2111" w:rsidRPr="00D61E62" w14:paraId="02BB4B0C" w14:textId="77777777" w:rsidTr="008B770A">
            <w:trPr>
              <w:trHeight w:val="89"/>
            </w:trPr>
            <w:tc>
              <w:tcPr>
                <w:tcW w:w="8025" w:type="dxa"/>
                <w:tcMar>
                  <w:top w:w="216" w:type="dxa"/>
                  <w:left w:w="115" w:type="dxa"/>
                  <w:bottom w:w="216" w:type="dxa"/>
                  <w:right w:w="115" w:type="dxa"/>
                </w:tcMar>
              </w:tcPr>
              <w:p w14:paraId="15F5689F" w14:textId="77777777" w:rsidR="00EE2111" w:rsidRPr="00D61E62" w:rsidRDefault="00EE2111">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EE2111" w14:paraId="7481A2E4" w14:textId="77777777">
            <w:tc>
              <w:tcPr>
                <w:tcW w:w="7221" w:type="dxa"/>
                <w:tcMar>
                  <w:top w:w="216" w:type="dxa"/>
                  <w:left w:w="115" w:type="dxa"/>
                  <w:bottom w:w="216" w:type="dxa"/>
                  <w:right w:w="115" w:type="dxa"/>
                </w:tcMar>
              </w:tcPr>
              <w:p w14:paraId="663AB012" w14:textId="77777777" w:rsidR="00EE2111" w:rsidRDefault="00EE2111">
                <w:pPr>
                  <w:pStyle w:val="NoSpacing"/>
                  <w:rPr>
                    <w:color w:val="4472C4" w:themeColor="accent1"/>
                  </w:rPr>
                </w:pPr>
              </w:p>
            </w:tc>
          </w:tr>
        </w:tbl>
        <w:p w14:paraId="10AB4A63" w14:textId="31BB59AF" w:rsidR="00EE2111" w:rsidRDefault="00EE2111">
          <w:pPr>
            <w:rPr>
              <w:rFonts w:eastAsiaTheme="majorEastAsia" w:cs="Arial"/>
              <w:b/>
              <w:bCs/>
              <w:color w:val="000000" w:themeColor="text1"/>
              <w:sz w:val="32"/>
              <w:szCs w:val="32"/>
              <w:lang w:val="en-US"/>
            </w:rPr>
          </w:pPr>
          <w:r>
            <w:rPr>
              <w:rFonts w:cs="Arial"/>
              <w:b/>
              <w:bCs/>
              <w:color w:val="000000" w:themeColor="text1"/>
            </w:rPr>
            <w:br w:type="page"/>
          </w:r>
        </w:p>
      </w:sdtContent>
    </w:sdt>
    <w:sdt>
      <w:sdtPr>
        <w:rPr>
          <w:rFonts w:ascii="Arial" w:eastAsiaTheme="minorHAnsi" w:hAnsi="Arial" w:cstheme="minorBidi"/>
          <w:color w:val="auto"/>
          <w:sz w:val="24"/>
          <w:szCs w:val="22"/>
          <w:lang w:val="en-GB"/>
        </w:rPr>
        <w:id w:val="167993985"/>
        <w:docPartObj>
          <w:docPartGallery w:val="Table of Contents"/>
          <w:docPartUnique/>
        </w:docPartObj>
      </w:sdtPr>
      <w:sdtEndPr>
        <w:rPr>
          <w:b/>
          <w:bCs/>
          <w:noProof/>
        </w:rPr>
      </w:sdtEndPr>
      <w:sdtContent>
        <w:p w14:paraId="6F093824" w14:textId="11DE1A80" w:rsidR="00FC6FC1" w:rsidRPr="00FC6FC1" w:rsidRDefault="00FC6FC1">
          <w:pPr>
            <w:pStyle w:val="TOCHeading"/>
            <w:rPr>
              <w:rFonts w:ascii="Arial" w:hAnsi="Arial" w:cs="Arial"/>
              <w:b/>
              <w:bCs/>
              <w:color w:val="000000" w:themeColor="text1"/>
            </w:rPr>
          </w:pPr>
          <w:r w:rsidRPr="00FC6FC1">
            <w:rPr>
              <w:rFonts w:ascii="Arial" w:hAnsi="Arial" w:cs="Arial"/>
              <w:b/>
              <w:bCs/>
              <w:color w:val="000000" w:themeColor="text1"/>
            </w:rPr>
            <w:t>Contents</w:t>
          </w:r>
        </w:p>
        <w:p w14:paraId="066D65D7" w14:textId="7B4C6930" w:rsidR="0040294D" w:rsidRDefault="00FC6FC1">
          <w:pPr>
            <w:pStyle w:val="TOC1"/>
            <w:tabs>
              <w:tab w:val="right" w:leader="dot" w:pos="9016"/>
            </w:tabs>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55680319" w:history="1">
            <w:r w:rsidR="0040294D" w:rsidRPr="009D3DDA">
              <w:rPr>
                <w:rStyle w:val="Hyperlink"/>
                <w:noProof/>
                <w:lang w:val="en"/>
              </w:rPr>
              <w:t>OG 525 Charities Act 2011 s.181A - Power to disqualify from being a trustee</w:t>
            </w:r>
            <w:r w:rsidR="0040294D">
              <w:rPr>
                <w:noProof/>
                <w:webHidden/>
              </w:rPr>
              <w:tab/>
            </w:r>
            <w:r w:rsidR="0040294D">
              <w:rPr>
                <w:noProof/>
                <w:webHidden/>
              </w:rPr>
              <w:fldChar w:fldCharType="begin"/>
            </w:r>
            <w:r w:rsidR="0040294D">
              <w:rPr>
                <w:noProof/>
                <w:webHidden/>
              </w:rPr>
              <w:instrText xml:space="preserve"> PAGEREF _Toc155680319 \h </w:instrText>
            </w:r>
            <w:r w:rsidR="0040294D">
              <w:rPr>
                <w:noProof/>
                <w:webHidden/>
              </w:rPr>
            </w:r>
            <w:r w:rsidR="0040294D">
              <w:rPr>
                <w:noProof/>
                <w:webHidden/>
              </w:rPr>
              <w:fldChar w:fldCharType="separate"/>
            </w:r>
            <w:r w:rsidR="0040294D">
              <w:rPr>
                <w:noProof/>
                <w:webHidden/>
              </w:rPr>
              <w:t>1</w:t>
            </w:r>
            <w:r w:rsidR="0040294D">
              <w:rPr>
                <w:noProof/>
                <w:webHidden/>
              </w:rPr>
              <w:fldChar w:fldCharType="end"/>
            </w:r>
          </w:hyperlink>
        </w:p>
        <w:p w14:paraId="2DE892FE" w14:textId="7DAECAFA" w:rsidR="0040294D" w:rsidRDefault="0040294D">
          <w:pPr>
            <w:pStyle w:val="TOC1"/>
            <w:tabs>
              <w:tab w:val="right" w:leader="dot" w:pos="9016"/>
            </w:tabs>
            <w:rPr>
              <w:rFonts w:asciiTheme="minorHAnsi" w:eastAsiaTheme="minorEastAsia" w:hAnsiTheme="minorHAnsi"/>
              <w:noProof/>
              <w:kern w:val="2"/>
              <w:sz w:val="22"/>
              <w:lang w:eastAsia="en-GB"/>
              <w14:ligatures w14:val="standardContextual"/>
            </w:rPr>
          </w:pPr>
          <w:hyperlink w:anchor="_Toc155680320" w:history="1">
            <w:r w:rsidRPr="009D3DDA">
              <w:rPr>
                <w:rStyle w:val="Hyperlink"/>
                <w:noProof/>
                <w:lang w:val="en"/>
              </w:rPr>
              <w:t>Policy Statement/Overview</w:t>
            </w:r>
            <w:r>
              <w:rPr>
                <w:noProof/>
                <w:webHidden/>
              </w:rPr>
              <w:tab/>
            </w:r>
            <w:r>
              <w:rPr>
                <w:noProof/>
                <w:webHidden/>
              </w:rPr>
              <w:fldChar w:fldCharType="begin"/>
            </w:r>
            <w:r>
              <w:rPr>
                <w:noProof/>
                <w:webHidden/>
              </w:rPr>
              <w:instrText xml:space="preserve"> PAGEREF _Toc155680320 \h </w:instrText>
            </w:r>
            <w:r>
              <w:rPr>
                <w:noProof/>
                <w:webHidden/>
              </w:rPr>
            </w:r>
            <w:r>
              <w:rPr>
                <w:noProof/>
                <w:webHidden/>
              </w:rPr>
              <w:fldChar w:fldCharType="separate"/>
            </w:r>
            <w:r>
              <w:rPr>
                <w:noProof/>
                <w:webHidden/>
              </w:rPr>
              <w:t>1</w:t>
            </w:r>
            <w:r>
              <w:rPr>
                <w:noProof/>
                <w:webHidden/>
              </w:rPr>
              <w:fldChar w:fldCharType="end"/>
            </w:r>
          </w:hyperlink>
        </w:p>
        <w:p w14:paraId="4E5BE25B" w14:textId="694760DB" w:rsidR="0040294D" w:rsidRDefault="0040294D">
          <w:pPr>
            <w:pStyle w:val="TOC1"/>
            <w:tabs>
              <w:tab w:val="right" w:leader="dot" w:pos="9016"/>
            </w:tabs>
            <w:rPr>
              <w:rFonts w:asciiTheme="minorHAnsi" w:eastAsiaTheme="minorEastAsia" w:hAnsiTheme="minorHAnsi"/>
              <w:noProof/>
              <w:kern w:val="2"/>
              <w:sz w:val="22"/>
              <w:lang w:eastAsia="en-GB"/>
              <w14:ligatures w14:val="standardContextual"/>
            </w:rPr>
          </w:pPr>
          <w:hyperlink w:anchor="_Toc155680321" w:history="1">
            <w:r w:rsidRPr="009D3DDA">
              <w:rPr>
                <w:rStyle w:val="Hyperlink"/>
                <w:noProof/>
                <w:lang w:val="en"/>
              </w:rPr>
              <w:t>Summary of the guidance</w:t>
            </w:r>
            <w:r>
              <w:rPr>
                <w:noProof/>
                <w:webHidden/>
              </w:rPr>
              <w:tab/>
            </w:r>
            <w:r>
              <w:rPr>
                <w:noProof/>
                <w:webHidden/>
              </w:rPr>
              <w:fldChar w:fldCharType="begin"/>
            </w:r>
            <w:r>
              <w:rPr>
                <w:noProof/>
                <w:webHidden/>
              </w:rPr>
              <w:instrText xml:space="preserve"> PAGEREF _Toc155680321 \h </w:instrText>
            </w:r>
            <w:r>
              <w:rPr>
                <w:noProof/>
                <w:webHidden/>
              </w:rPr>
            </w:r>
            <w:r>
              <w:rPr>
                <w:noProof/>
                <w:webHidden/>
              </w:rPr>
              <w:fldChar w:fldCharType="separate"/>
            </w:r>
            <w:r>
              <w:rPr>
                <w:noProof/>
                <w:webHidden/>
              </w:rPr>
              <w:t>1</w:t>
            </w:r>
            <w:r>
              <w:rPr>
                <w:noProof/>
                <w:webHidden/>
              </w:rPr>
              <w:fldChar w:fldCharType="end"/>
            </w:r>
          </w:hyperlink>
        </w:p>
        <w:p w14:paraId="36078CDC" w14:textId="2E0BB910" w:rsidR="0040294D" w:rsidRDefault="0040294D">
          <w:pPr>
            <w:pStyle w:val="TOC1"/>
            <w:tabs>
              <w:tab w:val="right" w:leader="dot" w:pos="9016"/>
            </w:tabs>
            <w:rPr>
              <w:rFonts w:asciiTheme="minorHAnsi" w:eastAsiaTheme="minorEastAsia" w:hAnsiTheme="minorHAnsi"/>
              <w:noProof/>
              <w:kern w:val="2"/>
              <w:sz w:val="22"/>
              <w:lang w:eastAsia="en-GB"/>
              <w14:ligatures w14:val="standardContextual"/>
            </w:rPr>
          </w:pPr>
          <w:hyperlink w:anchor="_Toc155680322" w:history="1">
            <w:r w:rsidRPr="009D3DDA">
              <w:rPr>
                <w:rStyle w:val="Hyperlink"/>
                <w:noProof/>
                <w:lang w:val="en"/>
              </w:rPr>
              <w:t>B Casework Guidance</w:t>
            </w:r>
            <w:r>
              <w:rPr>
                <w:noProof/>
                <w:webHidden/>
              </w:rPr>
              <w:tab/>
            </w:r>
            <w:r>
              <w:rPr>
                <w:noProof/>
                <w:webHidden/>
              </w:rPr>
              <w:fldChar w:fldCharType="begin"/>
            </w:r>
            <w:r>
              <w:rPr>
                <w:noProof/>
                <w:webHidden/>
              </w:rPr>
              <w:instrText xml:space="preserve"> PAGEREF _Toc155680322 \h </w:instrText>
            </w:r>
            <w:r>
              <w:rPr>
                <w:noProof/>
                <w:webHidden/>
              </w:rPr>
            </w:r>
            <w:r>
              <w:rPr>
                <w:noProof/>
                <w:webHidden/>
              </w:rPr>
              <w:fldChar w:fldCharType="separate"/>
            </w:r>
            <w:r>
              <w:rPr>
                <w:noProof/>
                <w:webHidden/>
              </w:rPr>
              <w:t>2</w:t>
            </w:r>
            <w:r>
              <w:rPr>
                <w:noProof/>
                <w:webHidden/>
              </w:rPr>
              <w:fldChar w:fldCharType="end"/>
            </w:r>
          </w:hyperlink>
        </w:p>
        <w:p w14:paraId="5AB3988E" w14:textId="26FB384C" w:rsidR="0040294D" w:rsidRDefault="0040294D">
          <w:pPr>
            <w:pStyle w:val="TOC2"/>
            <w:tabs>
              <w:tab w:val="right" w:leader="dot" w:pos="9016"/>
            </w:tabs>
            <w:rPr>
              <w:rFonts w:asciiTheme="minorHAnsi" w:eastAsiaTheme="minorEastAsia" w:hAnsiTheme="minorHAnsi"/>
              <w:noProof/>
              <w:kern w:val="2"/>
              <w:sz w:val="22"/>
              <w:lang w:eastAsia="en-GB"/>
              <w14:ligatures w14:val="standardContextual"/>
            </w:rPr>
          </w:pPr>
          <w:hyperlink w:anchor="_Toc155680323" w:history="1">
            <w:r w:rsidRPr="009D3DDA">
              <w:rPr>
                <w:rStyle w:val="Hyperlink"/>
                <w:noProof/>
                <w:lang w:val="en"/>
              </w:rPr>
              <w:t>B1 Using this power</w:t>
            </w:r>
            <w:r>
              <w:rPr>
                <w:noProof/>
                <w:webHidden/>
              </w:rPr>
              <w:tab/>
            </w:r>
            <w:r>
              <w:rPr>
                <w:noProof/>
                <w:webHidden/>
              </w:rPr>
              <w:fldChar w:fldCharType="begin"/>
            </w:r>
            <w:r>
              <w:rPr>
                <w:noProof/>
                <w:webHidden/>
              </w:rPr>
              <w:instrText xml:space="preserve"> PAGEREF _Toc155680323 \h </w:instrText>
            </w:r>
            <w:r>
              <w:rPr>
                <w:noProof/>
                <w:webHidden/>
              </w:rPr>
            </w:r>
            <w:r>
              <w:rPr>
                <w:noProof/>
                <w:webHidden/>
              </w:rPr>
              <w:fldChar w:fldCharType="separate"/>
            </w:r>
            <w:r>
              <w:rPr>
                <w:noProof/>
                <w:webHidden/>
              </w:rPr>
              <w:t>2</w:t>
            </w:r>
            <w:r>
              <w:rPr>
                <w:noProof/>
                <w:webHidden/>
              </w:rPr>
              <w:fldChar w:fldCharType="end"/>
            </w:r>
          </w:hyperlink>
        </w:p>
        <w:p w14:paraId="36F0681D" w14:textId="135CD497"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24" w:history="1">
            <w:r w:rsidRPr="009D3DDA">
              <w:rPr>
                <w:rStyle w:val="Hyperlink"/>
                <w:rFonts w:eastAsia="Times New Roman"/>
                <w:noProof/>
                <w:lang w:val="en" w:eastAsia="en-GB"/>
              </w:rPr>
              <w:t>B1.1 What this power allows us to do</w:t>
            </w:r>
            <w:r>
              <w:rPr>
                <w:noProof/>
                <w:webHidden/>
              </w:rPr>
              <w:tab/>
            </w:r>
            <w:r>
              <w:rPr>
                <w:noProof/>
                <w:webHidden/>
              </w:rPr>
              <w:fldChar w:fldCharType="begin"/>
            </w:r>
            <w:r>
              <w:rPr>
                <w:noProof/>
                <w:webHidden/>
              </w:rPr>
              <w:instrText xml:space="preserve"> PAGEREF _Toc155680324 \h </w:instrText>
            </w:r>
            <w:r>
              <w:rPr>
                <w:noProof/>
                <w:webHidden/>
              </w:rPr>
            </w:r>
            <w:r>
              <w:rPr>
                <w:noProof/>
                <w:webHidden/>
              </w:rPr>
              <w:fldChar w:fldCharType="separate"/>
            </w:r>
            <w:r>
              <w:rPr>
                <w:noProof/>
                <w:webHidden/>
              </w:rPr>
              <w:t>2</w:t>
            </w:r>
            <w:r>
              <w:rPr>
                <w:noProof/>
                <w:webHidden/>
              </w:rPr>
              <w:fldChar w:fldCharType="end"/>
            </w:r>
          </w:hyperlink>
        </w:p>
        <w:p w14:paraId="3FD6E2EC" w14:textId="6691A2D5"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25" w:history="1">
            <w:r w:rsidRPr="009D3DDA">
              <w:rPr>
                <w:rStyle w:val="Hyperlink"/>
                <w:rFonts w:eastAsia="Times New Roman"/>
                <w:noProof/>
                <w:lang w:val="en" w:eastAsia="en-GB"/>
              </w:rPr>
              <w:t>B1.2 The policy intention behind the power</w:t>
            </w:r>
            <w:r>
              <w:rPr>
                <w:noProof/>
                <w:webHidden/>
              </w:rPr>
              <w:tab/>
            </w:r>
            <w:r>
              <w:rPr>
                <w:noProof/>
                <w:webHidden/>
              </w:rPr>
              <w:fldChar w:fldCharType="begin"/>
            </w:r>
            <w:r>
              <w:rPr>
                <w:noProof/>
                <w:webHidden/>
              </w:rPr>
              <w:instrText xml:space="preserve"> PAGEREF _Toc155680325 \h </w:instrText>
            </w:r>
            <w:r>
              <w:rPr>
                <w:noProof/>
                <w:webHidden/>
              </w:rPr>
            </w:r>
            <w:r>
              <w:rPr>
                <w:noProof/>
                <w:webHidden/>
              </w:rPr>
              <w:fldChar w:fldCharType="separate"/>
            </w:r>
            <w:r>
              <w:rPr>
                <w:noProof/>
                <w:webHidden/>
              </w:rPr>
              <w:t>3</w:t>
            </w:r>
            <w:r>
              <w:rPr>
                <w:noProof/>
                <w:webHidden/>
              </w:rPr>
              <w:fldChar w:fldCharType="end"/>
            </w:r>
          </w:hyperlink>
        </w:p>
        <w:p w14:paraId="31CC4F07" w14:textId="4F4E5D68"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26" w:history="1">
            <w:r w:rsidRPr="009D3DDA">
              <w:rPr>
                <w:rStyle w:val="Hyperlink"/>
                <w:rFonts w:eastAsia="Times New Roman"/>
                <w:noProof/>
                <w:lang w:val="en" w:eastAsia="en-GB"/>
              </w:rPr>
              <w:t>B1.3 Application of the power to disqualify from trusteeship</w:t>
            </w:r>
            <w:r>
              <w:rPr>
                <w:noProof/>
                <w:webHidden/>
              </w:rPr>
              <w:tab/>
            </w:r>
            <w:r>
              <w:rPr>
                <w:noProof/>
                <w:webHidden/>
              </w:rPr>
              <w:fldChar w:fldCharType="begin"/>
            </w:r>
            <w:r>
              <w:rPr>
                <w:noProof/>
                <w:webHidden/>
              </w:rPr>
              <w:instrText xml:space="preserve"> PAGEREF _Toc155680326 \h </w:instrText>
            </w:r>
            <w:r>
              <w:rPr>
                <w:noProof/>
                <w:webHidden/>
              </w:rPr>
            </w:r>
            <w:r>
              <w:rPr>
                <w:noProof/>
                <w:webHidden/>
              </w:rPr>
              <w:fldChar w:fldCharType="separate"/>
            </w:r>
            <w:r>
              <w:rPr>
                <w:noProof/>
                <w:webHidden/>
              </w:rPr>
              <w:t>4</w:t>
            </w:r>
            <w:r>
              <w:rPr>
                <w:noProof/>
                <w:webHidden/>
              </w:rPr>
              <w:fldChar w:fldCharType="end"/>
            </w:r>
          </w:hyperlink>
        </w:p>
        <w:p w14:paraId="06008A7A" w14:textId="642A42EC"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27" w:history="1">
            <w:r w:rsidRPr="009D3DDA">
              <w:rPr>
                <w:rStyle w:val="Hyperlink"/>
                <w:rFonts w:eastAsia="Times New Roman"/>
                <w:noProof/>
                <w:lang w:val="en" w:eastAsia="en-GB"/>
              </w:rPr>
              <w:t>B1.4 Application of power to disqualify from senior management functions</w:t>
            </w:r>
            <w:r>
              <w:rPr>
                <w:noProof/>
                <w:webHidden/>
              </w:rPr>
              <w:tab/>
            </w:r>
            <w:r>
              <w:rPr>
                <w:noProof/>
                <w:webHidden/>
              </w:rPr>
              <w:fldChar w:fldCharType="begin"/>
            </w:r>
            <w:r>
              <w:rPr>
                <w:noProof/>
                <w:webHidden/>
              </w:rPr>
              <w:instrText xml:space="preserve"> PAGEREF _Toc155680327 \h </w:instrText>
            </w:r>
            <w:r>
              <w:rPr>
                <w:noProof/>
                <w:webHidden/>
              </w:rPr>
            </w:r>
            <w:r>
              <w:rPr>
                <w:noProof/>
                <w:webHidden/>
              </w:rPr>
              <w:fldChar w:fldCharType="separate"/>
            </w:r>
            <w:r>
              <w:rPr>
                <w:noProof/>
                <w:webHidden/>
              </w:rPr>
              <w:t>4</w:t>
            </w:r>
            <w:r>
              <w:rPr>
                <w:noProof/>
                <w:webHidden/>
              </w:rPr>
              <w:fldChar w:fldCharType="end"/>
            </w:r>
          </w:hyperlink>
        </w:p>
        <w:p w14:paraId="5DCD1002" w14:textId="013E7246" w:rsidR="0040294D" w:rsidRDefault="0040294D">
          <w:pPr>
            <w:pStyle w:val="TOC2"/>
            <w:tabs>
              <w:tab w:val="right" w:leader="dot" w:pos="9016"/>
            </w:tabs>
            <w:rPr>
              <w:rFonts w:asciiTheme="minorHAnsi" w:eastAsiaTheme="minorEastAsia" w:hAnsiTheme="minorHAnsi"/>
              <w:noProof/>
              <w:kern w:val="2"/>
              <w:sz w:val="22"/>
              <w:lang w:eastAsia="en-GB"/>
              <w14:ligatures w14:val="standardContextual"/>
            </w:rPr>
          </w:pPr>
          <w:hyperlink w:anchor="_Toc155680328" w:history="1">
            <w:r w:rsidRPr="009D3DDA">
              <w:rPr>
                <w:rStyle w:val="Hyperlink"/>
                <w:noProof/>
                <w:lang w:val="en"/>
              </w:rPr>
              <w:t>B2 Key considerations when using this power</w:t>
            </w:r>
            <w:r>
              <w:rPr>
                <w:noProof/>
                <w:webHidden/>
              </w:rPr>
              <w:tab/>
            </w:r>
            <w:r>
              <w:rPr>
                <w:noProof/>
                <w:webHidden/>
              </w:rPr>
              <w:fldChar w:fldCharType="begin"/>
            </w:r>
            <w:r>
              <w:rPr>
                <w:noProof/>
                <w:webHidden/>
              </w:rPr>
              <w:instrText xml:space="preserve"> PAGEREF _Toc155680328 \h </w:instrText>
            </w:r>
            <w:r>
              <w:rPr>
                <w:noProof/>
                <w:webHidden/>
              </w:rPr>
            </w:r>
            <w:r>
              <w:rPr>
                <w:noProof/>
                <w:webHidden/>
              </w:rPr>
              <w:fldChar w:fldCharType="separate"/>
            </w:r>
            <w:r>
              <w:rPr>
                <w:noProof/>
                <w:webHidden/>
              </w:rPr>
              <w:t>5</w:t>
            </w:r>
            <w:r>
              <w:rPr>
                <w:noProof/>
                <w:webHidden/>
              </w:rPr>
              <w:fldChar w:fldCharType="end"/>
            </w:r>
          </w:hyperlink>
        </w:p>
        <w:p w14:paraId="1EEC0494" w14:textId="418C0D4B"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29" w:history="1">
            <w:r w:rsidRPr="009D3DDA">
              <w:rPr>
                <w:rStyle w:val="Hyperlink"/>
                <w:rFonts w:eastAsia="Times New Roman"/>
                <w:noProof/>
                <w:lang w:val="en" w:eastAsia="en-GB"/>
              </w:rPr>
              <w:t>B2.1 How to decide whether to use this power</w:t>
            </w:r>
            <w:r>
              <w:rPr>
                <w:noProof/>
                <w:webHidden/>
              </w:rPr>
              <w:tab/>
            </w:r>
            <w:r>
              <w:rPr>
                <w:noProof/>
                <w:webHidden/>
              </w:rPr>
              <w:fldChar w:fldCharType="begin"/>
            </w:r>
            <w:r>
              <w:rPr>
                <w:noProof/>
                <w:webHidden/>
              </w:rPr>
              <w:instrText xml:space="preserve"> PAGEREF _Toc155680329 \h </w:instrText>
            </w:r>
            <w:r>
              <w:rPr>
                <w:noProof/>
                <w:webHidden/>
              </w:rPr>
            </w:r>
            <w:r>
              <w:rPr>
                <w:noProof/>
                <w:webHidden/>
              </w:rPr>
              <w:fldChar w:fldCharType="separate"/>
            </w:r>
            <w:r>
              <w:rPr>
                <w:noProof/>
                <w:webHidden/>
              </w:rPr>
              <w:t>5</w:t>
            </w:r>
            <w:r>
              <w:rPr>
                <w:noProof/>
                <w:webHidden/>
              </w:rPr>
              <w:fldChar w:fldCharType="end"/>
            </w:r>
          </w:hyperlink>
        </w:p>
        <w:p w14:paraId="5F787229" w14:textId="4A288CC8"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0" w:history="1">
            <w:r w:rsidRPr="009D3DDA">
              <w:rPr>
                <w:rStyle w:val="Hyperlink"/>
                <w:rFonts w:eastAsia="Times New Roman"/>
                <w:noProof/>
                <w:lang w:val="en" w:eastAsia="en-GB"/>
              </w:rPr>
              <w:t>B2.2 Key case handling points to remember when using this power</w:t>
            </w:r>
            <w:r>
              <w:rPr>
                <w:noProof/>
                <w:webHidden/>
              </w:rPr>
              <w:tab/>
            </w:r>
            <w:r>
              <w:rPr>
                <w:noProof/>
                <w:webHidden/>
              </w:rPr>
              <w:fldChar w:fldCharType="begin"/>
            </w:r>
            <w:r>
              <w:rPr>
                <w:noProof/>
                <w:webHidden/>
              </w:rPr>
              <w:instrText xml:space="preserve"> PAGEREF _Toc155680330 \h </w:instrText>
            </w:r>
            <w:r>
              <w:rPr>
                <w:noProof/>
                <w:webHidden/>
              </w:rPr>
            </w:r>
            <w:r>
              <w:rPr>
                <w:noProof/>
                <w:webHidden/>
              </w:rPr>
              <w:fldChar w:fldCharType="separate"/>
            </w:r>
            <w:r>
              <w:rPr>
                <w:noProof/>
                <w:webHidden/>
              </w:rPr>
              <w:t>7</w:t>
            </w:r>
            <w:r>
              <w:rPr>
                <w:noProof/>
                <w:webHidden/>
              </w:rPr>
              <w:fldChar w:fldCharType="end"/>
            </w:r>
          </w:hyperlink>
        </w:p>
        <w:p w14:paraId="2AC08B47" w14:textId="521EA7BD"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1" w:history="1">
            <w:r w:rsidRPr="009D3DDA">
              <w:rPr>
                <w:rStyle w:val="Hyperlink"/>
                <w:rFonts w:eastAsia="Times New Roman"/>
                <w:noProof/>
                <w:lang w:val="en" w:eastAsia="en-GB"/>
              </w:rPr>
              <w:t>B3. Process for making orders to suspend and disqualify</w:t>
            </w:r>
            <w:r>
              <w:rPr>
                <w:noProof/>
                <w:webHidden/>
              </w:rPr>
              <w:tab/>
            </w:r>
            <w:r>
              <w:rPr>
                <w:noProof/>
                <w:webHidden/>
              </w:rPr>
              <w:fldChar w:fldCharType="begin"/>
            </w:r>
            <w:r>
              <w:rPr>
                <w:noProof/>
                <w:webHidden/>
              </w:rPr>
              <w:instrText xml:space="preserve"> PAGEREF _Toc155680331 \h </w:instrText>
            </w:r>
            <w:r>
              <w:rPr>
                <w:noProof/>
                <w:webHidden/>
              </w:rPr>
            </w:r>
            <w:r>
              <w:rPr>
                <w:noProof/>
                <w:webHidden/>
              </w:rPr>
              <w:fldChar w:fldCharType="separate"/>
            </w:r>
            <w:r>
              <w:rPr>
                <w:noProof/>
                <w:webHidden/>
              </w:rPr>
              <w:t>9</w:t>
            </w:r>
            <w:r>
              <w:rPr>
                <w:noProof/>
                <w:webHidden/>
              </w:rPr>
              <w:fldChar w:fldCharType="end"/>
            </w:r>
          </w:hyperlink>
        </w:p>
        <w:p w14:paraId="37ABEA5A" w14:textId="2F94CC27"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2" w:history="1">
            <w:r w:rsidRPr="009D3DDA">
              <w:rPr>
                <w:rStyle w:val="Hyperlink"/>
                <w:rFonts w:eastAsia="Times New Roman"/>
                <w:noProof/>
                <w:lang w:val="en" w:eastAsia="en-GB"/>
              </w:rPr>
              <w:t>B3.1 Notice requirements before deciding to make the disqualification order</w:t>
            </w:r>
            <w:r>
              <w:rPr>
                <w:noProof/>
                <w:webHidden/>
              </w:rPr>
              <w:tab/>
            </w:r>
            <w:r>
              <w:rPr>
                <w:noProof/>
                <w:webHidden/>
              </w:rPr>
              <w:fldChar w:fldCharType="begin"/>
            </w:r>
            <w:r>
              <w:rPr>
                <w:noProof/>
                <w:webHidden/>
              </w:rPr>
              <w:instrText xml:space="preserve"> PAGEREF _Toc155680332 \h </w:instrText>
            </w:r>
            <w:r>
              <w:rPr>
                <w:noProof/>
                <w:webHidden/>
              </w:rPr>
            </w:r>
            <w:r>
              <w:rPr>
                <w:noProof/>
                <w:webHidden/>
              </w:rPr>
              <w:fldChar w:fldCharType="separate"/>
            </w:r>
            <w:r>
              <w:rPr>
                <w:noProof/>
                <w:webHidden/>
              </w:rPr>
              <w:t>9</w:t>
            </w:r>
            <w:r>
              <w:rPr>
                <w:noProof/>
                <w:webHidden/>
              </w:rPr>
              <w:fldChar w:fldCharType="end"/>
            </w:r>
          </w:hyperlink>
        </w:p>
        <w:p w14:paraId="594A4414" w14:textId="04698B3F"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3" w:history="1">
            <w:r w:rsidRPr="009D3DDA">
              <w:rPr>
                <w:rStyle w:val="Hyperlink"/>
                <w:rFonts w:eastAsia="Times New Roman"/>
                <w:noProof/>
                <w:lang w:val="en" w:eastAsia="en-GB"/>
              </w:rPr>
              <w:t>B3.2 Suspension pending disqualification</w:t>
            </w:r>
            <w:r>
              <w:rPr>
                <w:noProof/>
                <w:webHidden/>
              </w:rPr>
              <w:tab/>
            </w:r>
            <w:r>
              <w:rPr>
                <w:noProof/>
                <w:webHidden/>
              </w:rPr>
              <w:fldChar w:fldCharType="begin"/>
            </w:r>
            <w:r>
              <w:rPr>
                <w:noProof/>
                <w:webHidden/>
              </w:rPr>
              <w:instrText xml:space="preserve"> PAGEREF _Toc155680333 \h </w:instrText>
            </w:r>
            <w:r>
              <w:rPr>
                <w:noProof/>
                <w:webHidden/>
              </w:rPr>
            </w:r>
            <w:r>
              <w:rPr>
                <w:noProof/>
                <w:webHidden/>
              </w:rPr>
              <w:fldChar w:fldCharType="separate"/>
            </w:r>
            <w:r>
              <w:rPr>
                <w:noProof/>
                <w:webHidden/>
              </w:rPr>
              <w:t>10</w:t>
            </w:r>
            <w:r>
              <w:rPr>
                <w:noProof/>
                <w:webHidden/>
              </w:rPr>
              <w:fldChar w:fldCharType="end"/>
            </w:r>
          </w:hyperlink>
        </w:p>
        <w:p w14:paraId="112294C0" w14:textId="3A15045A"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4" w:history="1">
            <w:r w:rsidRPr="009D3DDA">
              <w:rPr>
                <w:rStyle w:val="Hyperlink"/>
                <w:rFonts w:eastAsia="Times New Roman"/>
                <w:noProof/>
                <w:lang w:val="en" w:eastAsia="en-GB"/>
              </w:rPr>
              <w:t>B3.3 Considering representations in response to a notice of intention to disqualify</w:t>
            </w:r>
            <w:r>
              <w:rPr>
                <w:noProof/>
                <w:webHidden/>
              </w:rPr>
              <w:tab/>
            </w:r>
            <w:r>
              <w:rPr>
                <w:noProof/>
                <w:webHidden/>
              </w:rPr>
              <w:fldChar w:fldCharType="begin"/>
            </w:r>
            <w:r>
              <w:rPr>
                <w:noProof/>
                <w:webHidden/>
              </w:rPr>
              <w:instrText xml:space="preserve"> PAGEREF _Toc155680334 \h </w:instrText>
            </w:r>
            <w:r>
              <w:rPr>
                <w:noProof/>
                <w:webHidden/>
              </w:rPr>
            </w:r>
            <w:r>
              <w:rPr>
                <w:noProof/>
                <w:webHidden/>
              </w:rPr>
              <w:fldChar w:fldCharType="separate"/>
            </w:r>
            <w:r>
              <w:rPr>
                <w:noProof/>
                <w:webHidden/>
              </w:rPr>
              <w:t>12</w:t>
            </w:r>
            <w:r>
              <w:rPr>
                <w:noProof/>
                <w:webHidden/>
              </w:rPr>
              <w:fldChar w:fldCharType="end"/>
            </w:r>
          </w:hyperlink>
        </w:p>
        <w:p w14:paraId="76B14949" w14:textId="719486A5"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5" w:history="1">
            <w:r w:rsidRPr="009D3DDA">
              <w:rPr>
                <w:rStyle w:val="Hyperlink"/>
                <w:rFonts w:eastAsia="Times New Roman"/>
                <w:noProof/>
                <w:lang w:val="en" w:eastAsia="en-GB"/>
              </w:rPr>
              <w:t>B3.4 After we make the disqualification order</w:t>
            </w:r>
            <w:r>
              <w:rPr>
                <w:noProof/>
                <w:webHidden/>
              </w:rPr>
              <w:tab/>
            </w:r>
            <w:r>
              <w:rPr>
                <w:noProof/>
                <w:webHidden/>
              </w:rPr>
              <w:fldChar w:fldCharType="begin"/>
            </w:r>
            <w:r>
              <w:rPr>
                <w:noProof/>
                <w:webHidden/>
              </w:rPr>
              <w:instrText xml:space="preserve"> PAGEREF _Toc155680335 \h </w:instrText>
            </w:r>
            <w:r>
              <w:rPr>
                <w:noProof/>
                <w:webHidden/>
              </w:rPr>
            </w:r>
            <w:r>
              <w:rPr>
                <w:noProof/>
                <w:webHidden/>
              </w:rPr>
              <w:fldChar w:fldCharType="separate"/>
            </w:r>
            <w:r>
              <w:rPr>
                <w:noProof/>
                <w:webHidden/>
              </w:rPr>
              <w:t>13</w:t>
            </w:r>
            <w:r>
              <w:rPr>
                <w:noProof/>
                <w:webHidden/>
              </w:rPr>
              <w:fldChar w:fldCharType="end"/>
            </w:r>
          </w:hyperlink>
        </w:p>
        <w:p w14:paraId="0A5576ED" w14:textId="175F33BA"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6" w:history="1">
            <w:r w:rsidRPr="009D3DDA">
              <w:rPr>
                <w:rStyle w:val="Hyperlink"/>
                <w:rFonts w:eastAsia="Times New Roman"/>
                <w:noProof/>
                <w:lang w:val="en" w:eastAsia="en-GB"/>
              </w:rPr>
              <w:t>B3.5 Variation or discharge of the disqualification order</w:t>
            </w:r>
            <w:r>
              <w:rPr>
                <w:noProof/>
                <w:webHidden/>
              </w:rPr>
              <w:tab/>
            </w:r>
            <w:r>
              <w:rPr>
                <w:noProof/>
                <w:webHidden/>
              </w:rPr>
              <w:fldChar w:fldCharType="begin"/>
            </w:r>
            <w:r>
              <w:rPr>
                <w:noProof/>
                <w:webHidden/>
              </w:rPr>
              <w:instrText xml:space="preserve"> PAGEREF _Toc155680336 \h </w:instrText>
            </w:r>
            <w:r>
              <w:rPr>
                <w:noProof/>
                <w:webHidden/>
              </w:rPr>
            </w:r>
            <w:r>
              <w:rPr>
                <w:noProof/>
                <w:webHidden/>
              </w:rPr>
              <w:fldChar w:fldCharType="separate"/>
            </w:r>
            <w:r>
              <w:rPr>
                <w:noProof/>
                <w:webHidden/>
              </w:rPr>
              <w:t>14</w:t>
            </w:r>
            <w:r>
              <w:rPr>
                <w:noProof/>
                <w:webHidden/>
              </w:rPr>
              <w:fldChar w:fldCharType="end"/>
            </w:r>
          </w:hyperlink>
        </w:p>
        <w:p w14:paraId="0BC009E3" w14:textId="0C10CBF6"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7" w:history="1">
            <w:r w:rsidRPr="009D3DDA">
              <w:rPr>
                <w:rStyle w:val="Hyperlink"/>
                <w:rFonts w:eastAsia="Times New Roman"/>
                <w:noProof/>
                <w:lang w:val="en" w:eastAsia="en-GB"/>
              </w:rPr>
              <w:t>B3.6 Register of removed persons</w:t>
            </w:r>
            <w:r>
              <w:rPr>
                <w:noProof/>
                <w:webHidden/>
              </w:rPr>
              <w:tab/>
            </w:r>
            <w:r>
              <w:rPr>
                <w:noProof/>
                <w:webHidden/>
              </w:rPr>
              <w:fldChar w:fldCharType="begin"/>
            </w:r>
            <w:r>
              <w:rPr>
                <w:noProof/>
                <w:webHidden/>
              </w:rPr>
              <w:instrText xml:space="preserve"> PAGEREF _Toc155680337 \h </w:instrText>
            </w:r>
            <w:r>
              <w:rPr>
                <w:noProof/>
                <w:webHidden/>
              </w:rPr>
            </w:r>
            <w:r>
              <w:rPr>
                <w:noProof/>
                <w:webHidden/>
              </w:rPr>
              <w:fldChar w:fldCharType="separate"/>
            </w:r>
            <w:r>
              <w:rPr>
                <w:noProof/>
                <w:webHidden/>
              </w:rPr>
              <w:t>14</w:t>
            </w:r>
            <w:r>
              <w:rPr>
                <w:noProof/>
                <w:webHidden/>
              </w:rPr>
              <w:fldChar w:fldCharType="end"/>
            </w:r>
          </w:hyperlink>
        </w:p>
        <w:p w14:paraId="61480E3F" w14:textId="07197ECA" w:rsidR="0040294D" w:rsidRDefault="0040294D">
          <w:pPr>
            <w:pStyle w:val="TOC3"/>
            <w:tabs>
              <w:tab w:val="right" w:leader="dot" w:pos="9016"/>
            </w:tabs>
            <w:rPr>
              <w:rFonts w:asciiTheme="minorHAnsi" w:eastAsiaTheme="minorEastAsia" w:hAnsiTheme="minorHAnsi"/>
              <w:noProof/>
              <w:kern w:val="2"/>
              <w:sz w:val="22"/>
              <w:lang w:eastAsia="en-GB"/>
              <w14:ligatures w14:val="standardContextual"/>
            </w:rPr>
          </w:pPr>
          <w:hyperlink w:anchor="_Toc155680338" w:history="1">
            <w:r w:rsidRPr="009D3DDA">
              <w:rPr>
                <w:rStyle w:val="Hyperlink"/>
                <w:rFonts w:eastAsia="Times New Roman"/>
                <w:noProof/>
                <w:lang w:val="en" w:eastAsia="en-GB"/>
              </w:rPr>
              <w:t>B3.7 Consequences of acting while disqualified</w:t>
            </w:r>
            <w:r>
              <w:rPr>
                <w:noProof/>
                <w:webHidden/>
              </w:rPr>
              <w:tab/>
            </w:r>
            <w:r>
              <w:rPr>
                <w:noProof/>
                <w:webHidden/>
              </w:rPr>
              <w:fldChar w:fldCharType="begin"/>
            </w:r>
            <w:r>
              <w:rPr>
                <w:noProof/>
                <w:webHidden/>
              </w:rPr>
              <w:instrText xml:space="preserve"> PAGEREF _Toc155680338 \h </w:instrText>
            </w:r>
            <w:r>
              <w:rPr>
                <w:noProof/>
                <w:webHidden/>
              </w:rPr>
            </w:r>
            <w:r>
              <w:rPr>
                <w:noProof/>
                <w:webHidden/>
              </w:rPr>
              <w:fldChar w:fldCharType="separate"/>
            </w:r>
            <w:r>
              <w:rPr>
                <w:noProof/>
                <w:webHidden/>
              </w:rPr>
              <w:t>14</w:t>
            </w:r>
            <w:r>
              <w:rPr>
                <w:noProof/>
                <w:webHidden/>
              </w:rPr>
              <w:fldChar w:fldCharType="end"/>
            </w:r>
          </w:hyperlink>
        </w:p>
        <w:p w14:paraId="4FBBC0CD" w14:textId="24577D5A" w:rsidR="00FC6FC1" w:rsidRDefault="00FC6FC1">
          <w:r>
            <w:rPr>
              <w:b/>
              <w:bCs/>
              <w:noProof/>
            </w:rPr>
            <w:fldChar w:fldCharType="end"/>
          </w:r>
        </w:p>
      </w:sdtContent>
    </w:sdt>
    <w:p w14:paraId="359FB347" w14:textId="77777777" w:rsidR="00E269E8" w:rsidRPr="00BC2CCA" w:rsidRDefault="00E269E8" w:rsidP="00CD55E3">
      <w:pPr>
        <w:pStyle w:val="Heading1"/>
        <w:rPr>
          <w:lang w:val="en"/>
        </w:rPr>
      </w:pPr>
      <w:bookmarkStart w:id="0" w:name="_Toc155680319"/>
      <w:r w:rsidRPr="00BC2CCA">
        <w:rPr>
          <w:lang w:val="en"/>
        </w:rPr>
        <w:t>OG 525 Charities Act 2011 s.181A - Power to disqualify from being a trustee</w:t>
      </w:r>
      <w:bookmarkEnd w:id="0"/>
    </w:p>
    <w:p w14:paraId="711C77BD" w14:textId="77777777" w:rsidR="00E269E8" w:rsidRPr="00BC2CCA" w:rsidRDefault="00E269E8" w:rsidP="00CD55E3">
      <w:pPr>
        <w:pStyle w:val="Heading1"/>
        <w:rPr>
          <w:lang w:val="en"/>
        </w:rPr>
      </w:pPr>
      <w:bookmarkStart w:id="1" w:name="_Toc155680320"/>
      <w:r w:rsidRPr="00BC2CCA">
        <w:rPr>
          <w:lang w:val="en"/>
        </w:rPr>
        <w:t>Policy Statement/Overview</w:t>
      </w:r>
      <w:bookmarkEnd w:id="1"/>
    </w:p>
    <w:p w14:paraId="6C2A9401" w14:textId="4987B618" w:rsidR="00E269E8" w:rsidRPr="00BC2CCA" w:rsidRDefault="00E269E8" w:rsidP="00E269E8">
      <w:pPr>
        <w:shd w:val="clear" w:color="auto" w:fill="FFFFFF"/>
        <w:spacing w:after="0" w:line="346" w:lineRule="atLeast"/>
        <w:rPr>
          <w:rFonts w:eastAsia="Times New Roman" w:cs="Arial"/>
          <w:color w:val="262626"/>
          <w:szCs w:val="24"/>
          <w:lang w:val="en" w:eastAsia="en-GB"/>
        </w:rPr>
      </w:pPr>
    </w:p>
    <w:tbl>
      <w:tblPr>
        <w:tblW w:w="0" w:type="auto"/>
        <w:tblCellSpacing w:w="0" w:type="dxa"/>
        <w:tblBorders>
          <w:top w:val="outset" w:sz="6" w:space="0" w:color="000000"/>
          <w:left w:val="outset" w:sz="6" w:space="0" w:color="000000"/>
          <w:bottom w:val="outset" w:sz="6" w:space="0" w:color="000000"/>
          <w:right w:val="outset" w:sz="6" w:space="0" w:color="000000"/>
        </w:tblBorders>
        <w:shd w:val="clear" w:color="auto" w:fill="FFFF99"/>
        <w:tblCellMar>
          <w:top w:w="45" w:type="dxa"/>
          <w:left w:w="45" w:type="dxa"/>
          <w:bottom w:w="45" w:type="dxa"/>
          <w:right w:w="45" w:type="dxa"/>
        </w:tblCellMar>
        <w:tblLook w:val="04A0" w:firstRow="1" w:lastRow="0" w:firstColumn="1" w:lastColumn="0" w:noHBand="0" w:noVBand="1"/>
      </w:tblPr>
      <w:tblGrid>
        <w:gridCol w:w="9010"/>
      </w:tblGrid>
      <w:tr w:rsidR="00E269E8" w:rsidRPr="00BC2CCA" w14:paraId="296DE360" w14:textId="77777777" w:rsidTr="00E269E8">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99"/>
            <w:hideMark/>
          </w:tcPr>
          <w:p w14:paraId="387CDE6E" w14:textId="38D55429" w:rsidR="00E269E8" w:rsidRPr="00BC2CCA" w:rsidRDefault="00E269E8" w:rsidP="00E269E8">
            <w:pPr>
              <w:spacing w:after="0" w:line="346" w:lineRule="atLeast"/>
              <w:rPr>
                <w:rFonts w:eastAsia="Times New Roman" w:cs="Arial"/>
                <w:color w:val="262626"/>
                <w:szCs w:val="24"/>
                <w:lang w:eastAsia="en-GB"/>
              </w:rPr>
            </w:pPr>
            <w:r w:rsidRPr="00BC2CCA">
              <w:rPr>
                <w:rFonts w:eastAsia="Times New Roman" w:cs="Arial"/>
                <w:b/>
                <w:bCs/>
                <w:color w:val="262626"/>
                <w:szCs w:val="24"/>
                <w:lang w:eastAsia="en-GB"/>
              </w:rPr>
              <w:t xml:space="preserve">Before reading this OG, please ensure that you have read the </w:t>
            </w:r>
            <w:r w:rsidRPr="00BC2CCA">
              <w:rPr>
                <w:rFonts w:eastAsia="Times New Roman" w:cs="Arial"/>
                <w:b/>
                <w:bCs/>
                <w:color w:val="323298"/>
                <w:szCs w:val="24"/>
                <w:u w:val="single"/>
                <w:lang w:eastAsia="en-GB"/>
              </w:rPr>
              <w:t>Explanatory Statement</w:t>
            </w:r>
            <w:r w:rsidRPr="00BC2CCA">
              <w:rPr>
                <w:rFonts w:eastAsia="Times New Roman" w:cs="Arial"/>
                <w:b/>
                <w:bCs/>
                <w:color w:val="262626"/>
                <w:szCs w:val="24"/>
                <w:lang w:eastAsia="en-GB"/>
              </w:rPr>
              <w:t xml:space="preserve"> on this power which sets out in detail our approach to making decisions about using this power and which must be followed when considering using this power. You may also find it helpful to look at the </w:t>
            </w:r>
            <w:r w:rsidRPr="00BC2CCA">
              <w:rPr>
                <w:rFonts w:eastAsia="Times New Roman" w:cs="Arial"/>
                <w:b/>
                <w:bCs/>
                <w:color w:val="323298"/>
                <w:szCs w:val="24"/>
                <w:u w:val="single"/>
                <w:lang w:eastAsia="en-GB"/>
              </w:rPr>
              <w:t>Q and A</w:t>
            </w:r>
            <w:r w:rsidRPr="00BC2CCA">
              <w:rPr>
                <w:rFonts w:eastAsia="Times New Roman" w:cs="Arial"/>
                <w:color w:val="262626"/>
                <w:szCs w:val="24"/>
                <w:lang w:eastAsia="en-GB"/>
              </w:rPr>
              <w:t xml:space="preserve"> </w:t>
            </w:r>
            <w:r w:rsidRPr="00BC2CCA">
              <w:rPr>
                <w:rFonts w:eastAsia="Times New Roman" w:cs="Arial"/>
                <w:b/>
                <w:bCs/>
                <w:color w:val="262626"/>
                <w:szCs w:val="24"/>
                <w:lang w:eastAsia="en-GB"/>
              </w:rPr>
              <w:t>we have produced for the website.</w:t>
            </w:r>
            <w:r w:rsidRPr="00BC2CCA">
              <w:rPr>
                <w:rFonts w:eastAsia="Times New Roman" w:cs="Arial"/>
                <w:color w:val="262626"/>
                <w:szCs w:val="24"/>
                <w:lang w:eastAsia="en-GB"/>
              </w:rPr>
              <w:t xml:space="preserve"> </w:t>
            </w:r>
          </w:p>
        </w:tc>
      </w:tr>
    </w:tbl>
    <w:p w14:paraId="77B8A34D" w14:textId="77777777" w:rsidR="00E269E8" w:rsidRPr="00BC2CCA" w:rsidRDefault="00E269E8" w:rsidP="00CD55E3">
      <w:pPr>
        <w:pStyle w:val="Heading1"/>
        <w:rPr>
          <w:lang w:val="en"/>
        </w:rPr>
      </w:pPr>
      <w:bookmarkStart w:id="2" w:name="_Toc155680321"/>
      <w:r w:rsidRPr="00BC2CCA">
        <w:rPr>
          <w:lang w:val="en"/>
        </w:rPr>
        <w:t>Summary of the guidance</w:t>
      </w:r>
      <w:bookmarkEnd w:id="2"/>
    </w:p>
    <w:p w14:paraId="484918B2" w14:textId="77777777" w:rsidR="00E269E8" w:rsidRPr="00BC2CCA" w:rsidRDefault="00E269E8" w:rsidP="00CD55E3">
      <w:pPr>
        <w:pStyle w:val="Heading1"/>
        <w:rPr>
          <w:lang w:val="en"/>
        </w:rPr>
      </w:pPr>
      <w:bookmarkStart w:id="3" w:name="_Toc155680322"/>
      <w:r w:rsidRPr="00BC2CCA">
        <w:rPr>
          <w:lang w:val="en"/>
        </w:rPr>
        <w:lastRenderedPageBreak/>
        <w:t>B Casework Guidance</w:t>
      </w:r>
      <w:bookmarkEnd w:id="3"/>
      <w:r w:rsidRPr="00BC2CCA">
        <w:rPr>
          <w:lang w:val="en"/>
        </w:rPr>
        <w:t xml:space="preserve"> </w:t>
      </w:r>
    </w:p>
    <w:p w14:paraId="37453BCE" w14:textId="77777777" w:rsidR="00E269E8" w:rsidRPr="00BC2CCA" w:rsidRDefault="00E269E8" w:rsidP="00CD55E3">
      <w:pPr>
        <w:pStyle w:val="Heading2"/>
        <w:rPr>
          <w:lang w:val="en"/>
        </w:rPr>
      </w:pPr>
      <w:bookmarkStart w:id="4" w:name="_Toc155680323"/>
      <w:r w:rsidRPr="00BC2CCA">
        <w:rPr>
          <w:lang w:val="en"/>
        </w:rPr>
        <w:t>B1 Using this power</w:t>
      </w:r>
      <w:bookmarkEnd w:id="4"/>
      <w:r w:rsidRPr="00BC2CCA">
        <w:rPr>
          <w:lang w:val="en"/>
        </w:rPr>
        <w:t xml:space="preserve"> </w:t>
      </w:r>
    </w:p>
    <w:p w14:paraId="76143130" w14:textId="77777777" w:rsidR="00E269E8" w:rsidRPr="00BC2CCA" w:rsidRDefault="00E269E8" w:rsidP="00CD55E3">
      <w:pPr>
        <w:pStyle w:val="Heading3"/>
        <w:rPr>
          <w:rFonts w:eastAsia="Times New Roman"/>
          <w:lang w:val="en" w:eastAsia="en-GB"/>
        </w:rPr>
      </w:pPr>
      <w:bookmarkStart w:id="5" w:name="_Toc155680324"/>
      <w:r w:rsidRPr="00BC2CCA">
        <w:rPr>
          <w:rFonts w:eastAsia="Times New Roman"/>
          <w:lang w:val="en" w:eastAsia="en-GB"/>
        </w:rPr>
        <w:t>B1.1 What this power allows us to do</w:t>
      </w:r>
      <w:bookmarkEnd w:id="5"/>
      <w:r w:rsidRPr="00BC2CCA">
        <w:rPr>
          <w:rFonts w:eastAsia="Times New Roman"/>
          <w:lang w:val="en" w:eastAsia="en-GB"/>
        </w:rPr>
        <w:t xml:space="preserve"> </w:t>
      </w:r>
    </w:p>
    <w:p w14:paraId="7FAFF917" w14:textId="65416484" w:rsidR="00E269E8" w:rsidRPr="00BC2CCA" w:rsidRDefault="00CD55E3" w:rsidP="00E269E8">
      <w:pPr>
        <w:shd w:val="clear" w:color="auto" w:fill="FFFFFF"/>
        <w:spacing w:after="0" w:line="346" w:lineRule="atLeast"/>
        <w:rPr>
          <w:rFonts w:eastAsia="Times New Roman" w:cs="Arial"/>
          <w:color w:val="262626"/>
          <w:szCs w:val="24"/>
          <w:lang w:val="en" w:eastAsia="en-GB"/>
        </w:rPr>
      </w:pPr>
      <w:r>
        <w:rPr>
          <w:rFonts w:eastAsia="Times New Roman" w:cs="Arial"/>
          <w:b/>
          <w:bCs/>
          <w:noProof/>
          <w:color w:val="000000"/>
          <w:szCs w:val="24"/>
          <w:lang w:val="en" w:eastAsia="en-GB"/>
        </w:rPr>
        <w:t xml:space="preserve">KEYPOINT: </w:t>
      </w:r>
      <w:r w:rsidR="00E269E8" w:rsidRPr="00BC2CCA">
        <w:rPr>
          <w:rFonts w:eastAsia="Times New Roman" w:cs="Arial"/>
          <w:color w:val="262626"/>
          <w:szCs w:val="24"/>
          <w:lang w:val="en" w:eastAsia="en-GB"/>
        </w:rPr>
        <w:t xml:space="preserve">Although the Act states 'misconduct or mismanagement', when setting out the Commission's findings, we should normally use the phrase 'misconduct and/ or mismanagement' so as not to tie us to one or both. </w:t>
      </w:r>
    </w:p>
    <w:p w14:paraId="1CF3F4E6"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This power allows us to make an order disqualifying a person from being a trustee in certain circumstances. While a person is disqualified under this power they are also (unless we order otherwise) disqualified from holding positions with senior management functions within the charity or charities concerned. The power: </w:t>
      </w:r>
    </w:p>
    <w:p w14:paraId="5606D3AD"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can be used to disqualify someone whether or not they are currently a trustee</w:t>
      </w:r>
    </w:p>
    <w:p w14:paraId="5EF36F8F" w14:textId="67637428"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can be exercised without the need for a s.46 inquiry. </w:t>
      </w:r>
    </w:p>
    <w:p w14:paraId="3C0BA760"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is exercisable only if we are satisfied that each of the following three statutory criteria are met: </w:t>
      </w:r>
    </w:p>
    <w:p w14:paraId="2620F354" w14:textId="77777777" w:rsidR="00E269E8" w:rsidRPr="00BC2CCA" w:rsidRDefault="00E269E8" w:rsidP="00E269E8">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one of the six conditions listed in s.181A(7) is met in relation to the person to be disqualified;</w:t>
      </w:r>
    </w:p>
    <w:p w14:paraId="5923B51B" w14:textId="77777777" w:rsidR="00E269E8" w:rsidRPr="00BC2CCA" w:rsidRDefault="00E269E8" w:rsidP="00E269E8">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person is unfit to be a charity trustee or trustee for a charity (either generally or in relation to the charities or classes of charities described in the order); and</w:t>
      </w:r>
    </w:p>
    <w:p w14:paraId="49E7B39C" w14:textId="77777777" w:rsidR="00E269E8" w:rsidRPr="00BC2CCA" w:rsidRDefault="00E269E8" w:rsidP="00E269E8">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making the order is desirable in the public interest in order to protect public trust and confidence in charities generally or in the charities or classes of charities described in the order </w:t>
      </w:r>
    </w:p>
    <w:p w14:paraId="58E2499A"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allows us to suspend the person if we have given them notice of our intention to disqualify them</w:t>
      </w:r>
    </w:p>
    <w:p w14:paraId="7C2E824B"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will enable us to disqualify the person for a proportionate period up to a maximum of 15 years from the day on which the order takes effect</w:t>
      </w:r>
    </w:p>
    <w:p w14:paraId="1F495FEC"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will enable the person to be disqualified from being a trustee of a particular charity, class of charity, or charities generally</w:t>
      </w:r>
    </w:p>
    <w:p w14:paraId="5CF1B122" w14:textId="77777777" w:rsidR="00E269E8" w:rsidRPr="00946162"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u w:val="single"/>
          <w:lang w:val="en" w:eastAsia="en-GB"/>
        </w:rPr>
      </w:pPr>
      <w:r w:rsidRPr="00BC2CCA">
        <w:rPr>
          <w:rFonts w:eastAsia="Times New Roman" w:cs="Arial"/>
          <w:color w:val="262626"/>
          <w:szCs w:val="24"/>
          <w:lang w:val="en" w:eastAsia="en-GB"/>
        </w:rPr>
        <w:t>prevents the disqualified person from being a trustee</w:t>
      </w:r>
      <w:r w:rsidRPr="00946162">
        <w:rPr>
          <w:rFonts w:eastAsia="Times New Roman" w:cs="Arial"/>
          <w:color w:val="262626"/>
          <w:szCs w:val="24"/>
          <w:u w:val="single"/>
          <w:lang w:val="en" w:eastAsia="en-GB"/>
        </w:rPr>
        <w:t xml:space="preserve">. It does not have the effect of removing them from any trustee positions they may </w:t>
      </w:r>
      <w:proofErr w:type="gramStart"/>
      <w:r w:rsidRPr="00946162">
        <w:rPr>
          <w:rFonts w:eastAsia="Times New Roman" w:cs="Arial"/>
          <w:color w:val="262626"/>
          <w:szCs w:val="24"/>
          <w:u w:val="single"/>
          <w:lang w:val="en" w:eastAsia="en-GB"/>
        </w:rPr>
        <w:t>hold:</w:t>
      </w:r>
      <w:proofErr w:type="gramEnd"/>
      <w:r w:rsidRPr="00946162">
        <w:rPr>
          <w:rFonts w:eastAsia="Times New Roman" w:cs="Arial"/>
          <w:color w:val="262626"/>
          <w:szCs w:val="24"/>
          <w:u w:val="single"/>
          <w:lang w:val="en" w:eastAsia="en-GB"/>
        </w:rPr>
        <w:t xml:space="preserve"> this is achieved either by their resignation or by their removal by the other trustees (if they have the power to do so) or by our order under s.79A of the 2011 Act</w:t>
      </w:r>
    </w:p>
    <w:p w14:paraId="3F253B5F"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as well as disqualifying the person from trusteeship, also has the effect of disqualifying them from holding positions with a senior management function (whether paid or unpaid) within the charity or charities from which they have been disqualified as a trustee (although we can specify in the order that the person is not disqualified generally from senior management functions or in relation to a specific office or employment or description of office or employment) (</w:t>
      </w:r>
      <w:hyperlink r:id="rId10" w:anchor="tab3#heading_toc_3y_10" w:tooltip="B1.4 Application of power to senior management functions " w:history="1">
        <w:r w:rsidRPr="00BC2CCA">
          <w:rPr>
            <w:rFonts w:eastAsia="Times New Roman" w:cs="Arial"/>
            <w:color w:val="323298"/>
            <w:szCs w:val="24"/>
            <w:lang w:val="en" w:eastAsia="en-GB"/>
          </w:rPr>
          <w:t>see section 1.4</w:t>
        </w:r>
      </w:hyperlink>
      <w:r w:rsidRPr="00BC2CCA">
        <w:rPr>
          <w:rFonts w:eastAsia="Times New Roman" w:cs="Arial"/>
          <w:color w:val="262626"/>
          <w:szCs w:val="24"/>
          <w:lang w:val="en" w:eastAsia="en-GB"/>
        </w:rPr>
        <w:t>).</w:t>
      </w:r>
    </w:p>
    <w:p w14:paraId="12637312"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lastRenderedPageBreak/>
        <w:t xml:space="preserve">is subject to notice requirements </w:t>
      </w:r>
    </w:p>
    <w:p w14:paraId="0C423EED" w14:textId="77777777" w:rsidR="00E269E8" w:rsidRPr="00BC2CCA" w:rsidRDefault="00E269E8" w:rsidP="00E269E8">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before we make the order we must give at least one month’s notice to the person we are intending to disqualify, inviting representations within a specified period (which will normally be one calendar month plus two days from the date of our letter)</w:t>
      </w:r>
    </w:p>
    <w:p w14:paraId="6474C537" w14:textId="77777777" w:rsidR="00E269E8" w:rsidRPr="00BC2CCA" w:rsidRDefault="00E269E8" w:rsidP="00E269E8">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if that person is known or believed to be a trustee we must also </w:t>
      </w:r>
    </w:p>
    <w:p w14:paraId="6EBEB4E1" w14:textId="77777777" w:rsidR="00E269E8" w:rsidRPr="00BC2CCA" w:rsidRDefault="00E269E8" w:rsidP="00E269E8">
      <w:pPr>
        <w:numPr>
          <w:ilvl w:val="2"/>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give notice to the other charity trustees of our proposals, and</w:t>
      </w:r>
    </w:p>
    <w:p w14:paraId="252E1D24" w14:textId="77777777" w:rsidR="00E269E8" w:rsidRPr="00BC2CCA" w:rsidRDefault="00E269E8" w:rsidP="00E269E8">
      <w:pPr>
        <w:numPr>
          <w:ilvl w:val="2"/>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give public notice of our intention to make an order, inviting representations within a specified period (normally one month) unless we are satisfied that for any reason it is unnecessary to give public notice</w:t>
      </w:r>
    </w:p>
    <w:p w14:paraId="7520BC3A"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is subject to appeal to the Tribunal  </w:t>
      </w:r>
    </w:p>
    <w:p w14:paraId="03E1E839" w14:textId="77777777" w:rsidR="00E269E8" w:rsidRPr="00BC2CCA" w:rsidRDefault="00E269E8" w:rsidP="00E269E8">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takes effect </w:t>
      </w:r>
    </w:p>
    <w:p w14:paraId="0C967C98" w14:textId="77777777" w:rsidR="00E269E8" w:rsidRPr="00BC2CCA" w:rsidRDefault="00E269E8" w:rsidP="00E269E8">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only after the time for an appeal in the Tribunal has elapsed i.e. 42 days after the order has been sent to the person disqualified, or</w:t>
      </w:r>
    </w:p>
    <w:p w14:paraId="04369B4E" w14:textId="77777777" w:rsidR="00E269E8" w:rsidRPr="00BC2CCA" w:rsidRDefault="00E269E8" w:rsidP="00E269E8">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where an appeal is lodged, after that appeal is concluded or withdrawn. This could be an indefinite period of time as it depends how long the Tribunal needs to make a final decision on the making of the order. You will therefore need to consider the points in section 3.2 regarding the maximum length of any suspension.</w:t>
      </w:r>
    </w:p>
    <w:p w14:paraId="3DF0A8C6"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54877890" w14:textId="77777777" w:rsidR="00E269E8" w:rsidRPr="00BC2CCA" w:rsidRDefault="00E269E8" w:rsidP="00CD55E3">
      <w:pPr>
        <w:pStyle w:val="Heading3"/>
        <w:rPr>
          <w:rFonts w:eastAsia="Times New Roman"/>
          <w:lang w:val="en" w:eastAsia="en-GB"/>
        </w:rPr>
      </w:pPr>
      <w:bookmarkStart w:id="6" w:name="_Toc155680325"/>
      <w:r w:rsidRPr="00BC2CCA">
        <w:rPr>
          <w:rFonts w:eastAsia="Times New Roman"/>
          <w:lang w:val="en" w:eastAsia="en-GB"/>
        </w:rPr>
        <w:t>B1.2 The policy intention behind the power</w:t>
      </w:r>
      <w:bookmarkEnd w:id="6"/>
      <w:r w:rsidRPr="00BC2CCA">
        <w:rPr>
          <w:rFonts w:eastAsia="Times New Roman"/>
          <w:lang w:val="en" w:eastAsia="en-GB"/>
        </w:rPr>
        <w:t xml:space="preserve"> </w:t>
      </w:r>
    </w:p>
    <w:p w14:paraId="6C2914D6" w14:textId="4ED92196"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This is set out in the </w:t>
      </w:r>
      <w:r w:rsidRPr="00BC2CCA">
        <w:rPr>
          <w:rFonts w:eastAsia="Times New Roman" w:cs="Arial"/>
          <w:color w:val="323298"/>
          <w:szCs w:val="24"/>
          <w:u w:val="single"/>
          <w:lang w:val="en" w:eastAsia="en-GB"/>
        </w:rPr>
        <w:t>Explanatory Statement</w:t>
      </w:r>
      <w:r w:rsidRPr="00BC2CCA">
        <w:rPr>
          <w:rFonts w:eastAsia="Times New Roman" w:cs="Arial"/>
          <w:color w:val="262626"/>
          <w:szCs w:val="24"/>
          <w:lang w:val="en" w:eastAsia="en-GB"/>
        </w:rPr>
        <w:t xml:space="preserve"> : </w:t>
      </w:r>
    </w:p>
    <w:p w14:paraId="7F113E7D" w14:textId="77777777" w:rsidR="00E269E8" w:rsidRPr="00BC2CCA" w:rsidRDefault="00E269E8" w:rsidP="00E269E8">
      <w:pPr>
        <w:shd w:val="clear" w:color="auto" w:fill="FFFFFF"/>
        <w:spacing w:after="100" w:line="346" w:lineRule="atLeast"/>
        <w:rPr>
          <w:rFonts w:eastAsia="Times New Roman" w:cs="Arial"/>
          <w:color w:val="262626"/>
          <w:szCs w:val="24"/>
          <w:lang w:val="en" w:eastAsia="en-GB"/>
        </w:rPr>
      </w:pPr>
      <w:r w:rsidRPr="00BC2CCA">
        <w:rPr>
          <w:rFonts w:eastAsia="Times New Roman" w:cs="Arial"/>
          <w:color w:val="262626"/>
          <w:szCs w:val="24"/>
          <w:lang w:val="en" w:eastAsia="en-GB"/>
        </w:rPr>
        <w:t> </w:t>
      </w:r>
      <w:r w:rsidRPr="00BC2CCA">
        <w:rPr>
          <w:rFonts w:eastAsia="Times New Roman" w:cs="Arial"/>
          <w:i/>
          <w:iCs/>
          <w:color w:val="262626"/>
          <w:szCs w:val="24"/>
          <w:lang w:val="en" w:eastAsia="en-GB"/>
        </w:rPr>
        <w:t>… in broad terms the Commission considers that this power is aimed at disqualification of persons from being a trustee when their conduct, whether in relation to a charity or more generally, is such that there is a public interest in making a disqualification order so as to protect public trust and confidence in charity. The power will aim to ensure that charities are protected from persons who are not fit to run a charity and who pose a risk of damage or loss to its activities, beneficiaries and public trust and confidence. Whilst providing protection, in some instances it may also serve as a deterrent for further or wider improper conduct in the sector.’</w:t>
      </w:r>
      <w:r w:rsidRPr="00BC2CCA">
        <w:rPr>
          <w:rFonts w:eastAsia="Times New Roman" w:cs="Arial"/>
          <w:color w:val="262626"/>
          <w:szCs w:val="24"/>
          <w:lang w:val="en" w:eastAsia="en-GB"/>
        </w:rPr>
        <w:t xml:space="preserve"> </w:t>
      </w:r>
    </w:p>
    <w:p w14:paraId="53973F37"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The Explanatory Statement provides further policy context for the exercise of the power: </w:t>
      </w:r>
    </w:p>
    <w:p w14:paraId="6C60F9EB" w14:textId="77777777" w:rsidR="00E269E8" w:rsidRPr="00BC2CCA" w:rsidRDefault="00E269E8" w:rsidP="00E269E8">
      <w:pPr>
        <w:shd w:val="clear" w:color="auto" w:fill="FFFFFF"/>
        <w:spacing w:after="100" w:line="346" w:lineRule="atLeast"/>
        <w:rPr>
          <w:rFonts w:eastAsia="Times New Roman" w:cs="Arial"/>
          <w:color w:val="262626"/>
          <w:szCs w:val="24"/>
          <w:lang w:val="en" w:eastAsia="en-GB"/>
        </w:rPr>
      </w:pPr>
      <w:r w:rsidRPr="00BC2CCA">
        <w:rPr>
          <w:rFonts w:eastAsia="Times New Roman" w:cs="Arial"/>
          <w:i/>
          <w:iCs/>
          <w:color w:val="262626"/>
          <w:szCs w:val="24"/>
          <w:lang w:val="en" w:eastAsia="en-GB"/>
        </w:rPr>
        <w:t xml:space="preserve">‘For the most part, trustees are unpaid volunteers who give up their personal time to do something for social good. The Commission supports and encourages voluntary participation in charities, in accordance with its statutory duties, and does not want to </w:t>
      </w:r>
      <w:proofErr w:type="spellStart"/>
      <w:r w:rsidRPr="00BC2CCA">
        <w:rPr>
          <w:rFonts w:eastAsia="Times New Roman" w:cs="Arial"/>
          <w:i/>
          <w:iCs/>
          <w:color w:val="262626"/>
          <w:szCs w:val="24"/>
          <w:lang w:val="en" w:eastAsia="en-GB"/>
        </w:rPr>
        <w:t>penalise</w:t>
      </w:r>
      <w:proofErr w:type="spellEnd"/>
      <w:r w:rsidRPr="00BC2CCA">
        <w:rPr>
          <w:rFonts w:eastAsia="Times New Roman" w:cs="Arial"/>
          <w:i/>
          <w:iCs/>
          <w:color w:val="262626"/>
          <w:szCs w:val="24"/>
          <w:lang w:val="en" w:eastAsia="en-GB"/>
        </w:rPr>
        <w:t xml:space="preserve"> a person simply because they made a mistake or </w:t>
      </w:r>
      <w:proofErr w:type="spellStart"/>
      <w:r w:rsidRPr="00BC2CCA">
        <w:rPr>
          <w:rFonts w:eastAsia="Times New Roman" w:cs="Arial"/>
          <w:i/>
          <w:iCs/>
          <w:color w:val="262626"/>
          <w:szCs w:val="24"/>
          <w:lang w:val="en" w:eastAsia="en-GB"/>
        </w:rPr>
        <w:t>misjudgement</w:t>
      </w:r>
      <w:proofErr w:type="spellEnd"/>
      <w:r w:rsidRPr="00BC2CCA">
        <w:rPr>
          <w:rFonts w:eastAsia="Times New Roman" w:cs="Arial"/>
          <w:i/>
          <w:iCs/>
          <w:color w:val="262626"/>
          <w:szCs w:val="24"/>
          <w:lang w:val="en" w:eastAsia="en-GB"/>
        </w:rPr>
        <w:t>, particularly if the impact is low or minimal.</w:t>
      </w:r>
      <w:r w:rsidRPr="00BC2CCA">
        <w:rPr>
          <w:rFonts w:eastAsia="Times New Roman" w:cs="Arial"/>
          <w:color w:val="262626"/>
          <w:szCs w:val="24"/>
          <w:lang w:val="en" w:eastAsia="en-GB"/>
        </w:rPr>
        <w:t xml:space="preserve"> </w:t>
      </w:r>
    </w:p>
    <w:p w14:paraId="5F609D83"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However, the Commission also has statutory objectives to promote trustees’ compliance with their legal obligations and increase public trust and confidence in charities. It therefore needs to ensure that charities and other trustees are protected </w:t>
      </w:r>
      <w:r w:rsidRPr="00BC2CCA">
        <w:rPr>
          <w:rFonts w:eastAsia="Times New Roman" w:cs="Arial"/>
          <w:color w:val="262626"/>
          <w:szCs w:val="24"/>
          <w:lang w:val="en" w:eastAsia="en-GB"/>
        </w:rPr>
        <w:lastRenderedPageBreak/>
        <w:t>from those whose involvement with charity poses a risk to the charity</w:t>
      </w:r>
      <w:proofErr w:type="gramStart"/>
      <w:r w:rsidRPr="00BC2CCA">
        <w:rPr>
          <w:rFonts w:eastAsia="Times New Roman" w:cs="Arial"/>
          <w:color w:val="262626"/>
          <w:szCs w:val="24"/>
          <w:lang w:val="en" w:eastAsia="en-GB"/>
        </w:rPr>
        <w:t>, is</w:t>
      </w:r>
      <w:proofErr w:type="gramEnd"/>
      <w:r w:rsidRPr="00BC2CCA">
        <w:rPr>
          <w:rFonts w:eastAsia="Times New Roman" w:cs="Arial"/>
          <w:color w:val="262626"/>
          <w:szCs w:val="24"/>
          <w:lang w:val="en" w:eastAsia="en-GB"/>
        </w:rPr>
        <w:t xml:space="preserve"> damaging to the charity or to the sector. One aim of this power is to reduce the risk of and enable the Commission to act before any misconduct and/ or mismanagement by the person is committed in a charity.’ </w:t>
      </w:r>
    </w:p>
    <w:p w14:paraId="18878F39"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238E2F03" w14:textId="0A75563A" w:rsidR="00E269E8" w:rsidRPr="00BC2CCA" w:rsidRDefault="00E269E8" w:rsidP="00CD55E3">
      <w:pPr>
        <w:pStyle w:val="Heading3"/>
        <w:rPr>
          <w:rFonts w:eastAsia="Times New Roman"/>
          <w:lang w:val="en" w:eastAsia="en-GB"/>
        </w:rPr>
      </w:pPr>
      <w:bookmarkStart w:id="7" w:name="_Toc155680326"/>
      <w:r w:rsidRPr="00BC2CCA">
        <w:rPr>
          <w:rFonts w:eastAsia="Times New Roman"/>
          <w:lang w:val="en" w:eastAsia="en-GB"/>
        </w:rPr>
        <w:t xml:space="preserve">B1.3 Application of the power to </w:t>
      </w:r>
      <w:r w:rsidR="00946162">
        <w:rPr>
          <w:rFonts w:eastAsia="Times New Roman"/>
          <w:lang w:val="en" w:eastAsia="en-GB"/>
        </w:rPr>
        <w:t xml:space="preserve">disqualify from </w:t>
      </w:r>
      <w:r w:rsidRPr="00BC2CCA">
        <w:rPr>
          <w:rFonts w:eastAsia="Times New Roman"/>
          <w:lang w:val="en" w:eastAsia="en-GB"/>
        </w:rPr>
        <w:t>trusteeship</w:t>
      </w:r>
      <w:bookmarkEnd w:id="7"/>
      <w:r w:rsidRPr="00BC2CCA">
        <w:rPr>
          <w:rFonts w:eastAsia="Times New Roman"/>
          <w:lang w:val="en" w:eastAsia="en-GB"/>
        </w:rPr>
        <w:t xml:space="preserve"> </w:t>
      </w:r>
    </w:p>
    <w:p w14:paraId="20AE4D80"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The power disqualifies a person from both charity trusteeship and trusteeship for a charity. A trustee for a charity is a person who is not a charity trustee but who holds property which is subject to charitable trusts or held on behalf of the charity: this will include those who are formally appointed as holding trustees, custodian trustees, or are otherwise acting as a 'bare trustee' as well as those who have not been formally appointed but who, for example, hold money that they have raised for a charity. The power also applies to bodies corporate in these capacities. </w:t>
      </w:r>
    </w:p>
    <w:p w14:paraId="59DFDEF2"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When section 12 of the Charities Act 2016 comes into force (which is not expected to be before October 2017 (participation in corporate decisions whilst disqualified – s.184A of the 2011 Act), a person who is disqualified from being a trustee but who participates as an officer in the decisions of a corporate charity trustee will be liable to the same criminal and civil consequences that apply to acting while disqualified as a charity trustee. </w:t>
      </w:r>
    </w:p>
    <w:p w14:paraId="7C78D3A2"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In cases where the person we are proposing to disqualify is not currently a trustee, case officers may need to gather and consider evidence to show how the use of the power addresses a regulatory concern in the charitable sector specifically. </w:t>
      </w:r>
    </w:p>
    <w:p w14:paraId="425BF95E"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5D7A6D61" w14:textId="27ABF343" w:rsidR="00E269E8" w:rsidRPr="00BC2CCA" w:rsidRDefault="00E269E8" w:rsidP="00CD55E3">
      <w:pPr>
        <w:pStyle w:val="Heading3"/>
        <w:rPr>
          <w:rFonts w:eastAsia="Times New Roman"/>
          <w:lang w:val="en" w:eastAsia="en-GB"/>
        </w:rPr>
      </w:pPr>
      <w:bookmarkStart w:id="8" w:name="_Toc155680327"/>
      <w:r w:rsidRPr="00BC2CCA">
        <w:rPr>
          <w:rFonts w:eastAsia="Times New Roman"/>
          <w:lang w:val="en" w:eastAsia="en-GB"/>
        </w:rPr>
        <w:t xml:space="preserve">B1.4 Application of power to </w:t>
      </w:r>
      <w:r w:rsidR="00F8659C">
        <w:rPr>
          <w:rFonts w:eastAsia="Times New Roman"/>
          <w:lang w:val="en" w:eastAsia="en-GB"/>
        </w:rPr>
        <w:t xml:space="preserve">disqualify from </w:t>
      </w:r>
      <w:r w:rsidRPr="00BC2CCA">
        <w:rPr>
          <w:rFonts w:eastAsia="Times New Roman"/>
          <w:lang w:val="en" w:eastAsia="en-GB"/>
        </w:rPr>
        <w:t>senior management functions</w:t>
      </w:r>
      <w:bookmarkEnd w:id="8"/>
      <w:r w:rsidRPr="00BC2CCA">
        <w:rPr>
          <w:rFonts w:eastAsia="Times New Roman"/>
          <w:lang w:val="en" w:eastAsia="en-GB"/>
        </w:rPr>
        <w:t xml:space="preserve"> </w:t>
      </w:r>
    </w:p>
    <w:p w14:paraId="3CC30119"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The power to disqualify is used to directly prevent someone from being a charity trustee or trustee for a charity: where we use it, the individual concerned will as a consequence also be disqualified from holding an office or employment with "senior management functions" (whether paid or unpaid) in the charity or charities from which they have been disqualified as a trustee. </w:t>
      </w:r>
    </w:p>
    <w:p w14:paraId="200DF446"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A senior management function is defined as </w:t>
      </w:r>
    </w:p>
    <w:p w14:paraId="5260F340" w14:textId="77777777" w:rsidR="00E269E8" w:rsidRPr="00BC2CCA" w:rsidRDefault="00E269E8" w:rsidP="00E269E8">
      <w:pPr>
        <w:numPr>
          <w:ilvl w:val="0"/>
          <w:numId w:val="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 position that relates to the management of the charity and the person holding that position is not responsible to another officer or employee of the charity (other than a trustee), or</w:t>
      </w:r>
    </w:p>
    <w:p w14:paraId="6C60C593" w14:textId="77777777" w:rsidR="00E269E8" w:rsidRPr="00BC2CCA" w:rsidRDefault="00E269E8" w:rsidP="00E269E8">
      <w:pPr>
        <w:numPr>
          <w:ilvl w:val="0"/>
          <w:numId w:val="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 position involving control over money and the only officer or employee (other than a trustee) to whom the person in that position is responsible is a person with senior management functions other than ones involving control over money.</w:t>
      </w:r>
    </w:p>
    <w:p w14:paraId="578884BF" w14:textId="77777777" w:rsidR="00E269E8"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lastRenderedPageBreak/>
        <w:t xml:space="preserve">Examples of senior management functions are the Chief Executive and Finance Director. They will often be employed directly by the charity. However, it is not necessary for the person to be employed directly by the charity or to occupy a role with only these titles – the test is whether or not the person is carrying out the </w:t>
      </w:r>
      <w:r w:rsidRPr="00BC2CCA">
        <w:rPr>
          <w:rFonts w:eastAsia="Times New Roman" w:cs="Arial"/>
          <w:color w:val="262626"/>
          <w:szCs w:val="24"/>
          <w:u w:val="single"/>
          <w:lang w:val="en" w:eastAsia="en-GB"/>
        </w:rPr>
        <w:t>functions</w:t>
      </w:r>
      <w:r w:rsidRPr="00BC2CCA">
        <w:rPr>
          <w:rFonts w:eastAsia="Times New Roman" w:cs="Arial"/>
          <w:color w:val="262626"/>
          <w:szCs w:val="24"/>
          <w:lang w:val="en" w:eastAsia="en-GB"/>
        </w:rPr>
        <w:t xml:space="preserve"> and is accountable, in the ways described in the above two bullet points. </w:t>
      </w:r>
    </w:p>
    <w:p w14:paraId="3886905B" w14:textId="77777777" w:rsidR="00F8659C" w:rsidRPr="00BC2CCA" w:rsidRDefault="00F8659C" w:rsidP="00E269E8">
      <w:pPr>
        <w:shd w:val="clear" w:color="auto" w:fill="FFFFFF"/>
        <w:spacing w:after="0" w:line="346" w:lineRule="atLeast"/>
        <w:rPr>
          <w:rFonts w:eastAsia="Times New Roman" w:cs="Arial"/>
          <w:color w:val="262626"/>
          <w:szCs w:val="24"/>
          <w:lang w:val="en" w:eastAsia="en-GB"/>
        </w:rPr>
      </w:pPr>
    </w:p>
    <w:p w14:paraId="2485F04A"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Section 181A(5) provides that an order can contain exceptions from disqualification either: </w:t>
      </w:r>
    </w:p>
    <w:p w14:paraId="41601CAD" w14:textId="77777777" w:rsidR="00E269E8" w:rsidRPr="00BC2CCA" w:rsidRDefault="00E269E8" w:rsidP="00E269E8">
      <w:pPr>
        <w:numPr>
          <w:ilvl w:val="0"/>
          <w:numId w:val="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generally in respect of senior management functions, or</w:t>
      </w:r>
    </w:p>
    <w:p w14:paraId="1F38F1DD" w14:textId="77777777" w:rsidR="00E269E8" w:rsidRPr="00BC2CCA" w:rsidRDefault="00E269E8" w:rsidP="00E269E8">
      <w:pPr>
        <w:numPr>
          <w:ilvl w:val="0"/>
          <w:numId w:val="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in relation to a specific office or employment</w:t>
      </w:r>
    </w:p>
    <w:p w14:paraId="66A37D08"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Given the potentially substantial impact a disqualification order might have on an individual holding employed or paid positions, in every case, the case officer </w:t>
      </w:r>
      <w:r w:rsidRPr="00BC2CCA">
        <w:rPr>
          <w:rFonts w:eastAsia="Times New Roman" w:cs="Arial"/>
          <w:color w:val="262626"/>
          <w:szCs w:val="24"/>
          <w:u w:val="single"/>
          <w:lang w:val="en" w:eastAsia="en-GB"/>
        </w:rPr>
        <w:t>must</w:t>
      </w:r>
      <w:r w:rsidRPr="00BC2CCA">
        <w:rPr>
          <w:rFonts w:eastAsia="Times New Roman" w:cs="Arial"/>
          <w:color w:val="262626"/>
          <w:szCs w:val="24"/>
          <w:lang w:val="en" w:eastAsia="en-GB"/>
        </w:rPr>
        <w:t xml:space="preserve"> specifically consider </w:t>
      </w:r>
    </w:p>
    <w:p w14:paraId="29007C44" w14:textId="77777777" w:rsidR="00E269E8" w:rsidRPr="00BC2CCA" w:rsidRDefault="00E269E8" w:rsidP="00E269E8">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human rights implications</w:t>
      </w:r>
    </w:p>
    <w:p w14:paraId="12AC06CF" w14:textId="77777777" w:rsidR="00E269E8" w:rsidRPr="00BC2CCA" w:rsidRDefault="00E269E8" w:rsidP="00E269E8">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any consequences for a person who is currently employed under a contract of employment in a charity or in a position which carries out these functions, or by way of a contract for services</w:t>
      </w:r>
    </w:p>
    <w:p w14:paraId="49C442EA" w14:textId="77777777" w:rsidR="00F8659C" w:rsidRPr="00F8659C" w:rsidRDefault="00E269E8" w:rsidP="00F8659C">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other likely consequences or implications from disqualifying the particular individual from all or some senior management function</w:t>
      </w:r>
      <w:r w:rsidR="00F8659C">
        <w:rPr>
          <w:rFonts w:eastAsia="Times New Roman" w:cs="Arial"/>
          <w:color w:val="262626"/>
          <w:szCs w:val="24"/>
          <w:lang w:val="en" w:eastAsia="en-GB"/>
        </w:rPr>
        <w:t xml:space="preserve"> </w:t>
      </w:r>
      <w:r w:rsidR="00F8659C" w:rsidRPr="00F8659C">
        <w:rPr>
          <w:rFonts w:eastAsia="Times New Roman" w:cs="Arial"/>
          <w:color w:val="262626"/>
          <w:szCs w:val="24"/>
          <w:lang w:eastAsia="en-GB"/>
        </w:rPr>
        <w:t>(including any consequences for the charity)</w:t>
      </w:r>
    </w:p>
    <w:p w14:paraId="1E8901F9" w14:textId="77777777" w:rsidR="00E269E8" w:rsidRPr="00BC2CCA" w:rsidRDefault="00E269E8" w:rsidP="00E269E8">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whether or not the disqualification order should contain an exception to cover any of the above identified issues</w:t>
      </w:r>
    </w:p>
    <w:p w14:paraId="4AD6D78F" w14:textId="77777777" w:rsidR="00E269E8" w:rsidRPr="00BC2CCA" w:rsidRDefault="00E269E8" w:rsidP="00CD55E3">
      <w:pPr>
        <w:pStyle w:val="Heading2"/>
        <w:rPr>
          <w:lang w:val="en"/>
        </w:rPr>
      </w:pPr>
      <w:bookmarkStart w:id="9" w:name="_Toc155680328"/>
      <w:r w:rsidRPr="00BC2CCA">
        <w:rPr>
          <w:lang w:val="en"/>
        </w:rPr>
        <w:t>B2 Key considerations when using this power</w:t>
      </w:r>
      <w:bookmarkEnd w:id="9"/>
      <w:r w:rsidRPr="00BC2CCA">
        <w:rPr>
          <w:lang w:val="en"/>
        </w:rPr>
        <w:t xml:space="preserve"> </w:t>
      </w:r>
    </w:p>
    <w:p w14:paraId="2F186F3A" w14:textId="77777777" w:rsidR="00E269E8" w:rsidRPr="00BC2CCA" w:rsidRDefault="00E269E8" w:rsidP="00CD55E3">
      <w:pPr>
        <w:pStyle w:val="Heading3"/>
        <w:rPr>
          <w:rFonts w:eastAsia="Times New Roman"/>
          <w:lang w:val="en" w:eastAsia="en-GB"/>
        </w:rPr>
      </w:pPr>
      <w:bookmarkStart w:id="10" w:name="_Toc155680329"/>
      <w:r w:rsidRPr="00BC2CCA">
        <w:rPr>
          <w:rFonts w:eastAsia="Times New Roman"/>
          <w:lang w:val="en" w:eastAsia="en-GB"/>
        </w:rPr>
        <w:t>B2.1 How to decide whether to use this power</w:t>
      </w:r>
      <w:bookmarkEnd w:id="10"/>
      <w:r w:rsidRPr="00BC2CCA">
        <w:rPr>
          <w:rFonts w:eastAsia="Times New Roman"/>
          <w:lang w:val="en" w:eastAsia="en-GB"/>
        </w:rPr>
        <w:t xml:space="preserve"> </w:t>
      </w:r>
    </w:p>
    <w:p w14:paraId="576FDB96" w14:textId="4E3C8BB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In considering whether to use this power, case officers must ensure they have read the </w:t>
      </w:r>
      <w:r w:rsidRPr="00BC2CCA">
        <w:rPr>
          <w:rFonts w:eastAsia="Times New Roman" w:cs="Arial"/>
          <w:color w:val="323298"/>
          <w:szCs w:val="24"/>
          <w:u w:val="single"/>
          <w:lang w:val="en" w:eastAsia="en-GB"/>
        </w:rPr>
        <w:t>Explanatory Statement</w:t>
      </w:r>
      <w:r w:rsidRPr="00BC2CCA">
        <w:rPr>
          <w:rFonts w:eastAsia="Times New Roman" w:cs="Arial"/>
          <w:color w:val="262626"/>
          <w:szCs w:val="24"/>
          <w:lang w:val="en" w:eastAsia="en-GB"/>
        </w:rPr>
        <w:t xml:space="preserve"> which details the three statutory criteria that must be met for using this power and our approach to making decisions on using this power. </w:t>
      </w:r>
    </w:p>
    <w:p w14:paraId="7947E953"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Particular points to note are: </w:t>
      </w:r>
    </w:p>
    <w:p w14:paraId="56CEFB34" w14:textId="77777777" w:rsidR="00E269E8" w:rsidRPr="00BC2CCA" w:rsidRDefault="00E269E8" w:rsidP="00E269E8">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as part of the consideration of whether or not to use this power, the case officer should be satisfied that using this power, as opposed to one of our other powers, will provide an appropriate regulatory outcome in the case or circumstances. For example, if the person we are considering disqualifying is presently a charity trustee of a charity which is in inquiry and the misconduct and/ or mismanagement relates to the issues under investigation, we will normally consider if a more suitable route is to exercise the power of removal under section 79. However, there may be cases where </w:t>
      </w:r>
      <w:r w:rsidRPr="00BC2CCA">
        <w:rPr>
          <w:rFonts w:eastAsia="Times New Roman" w:cs="Arial"/>
          <w:color w:val="262626"/>
          <w:szCs w:val="24"/>
          <w:lang w:val="en" w:eastAsia="en-GB"/>
        </w:rPr>
        <w:lastRenderedPageBreak/>
        <w:t>we are unable to meet the test needed for removal under section 79 (for example, it is difficult to establish a risk to charity property) or it is more appropriate to use this power, which is limited to a 15 year period.</w:t>
      </w:r>
    </w:p>
    <w:p w14:paraId="5D87E303" w14:textId="77777777" w:rsidR="00E269E8" w:rsidRPr="00BC2CCA" w:rsidRDefault="00E269E8" w:rsidP="00E269E8">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it is not the Commission’s intention to make a finding of unfitness in relation to well-meaning persons who have made an honest mistake in good faith or who were well-meaning in what they did but made an error in judgment, whether whilst administering a charity or charitable funds or in the context of their work or personal life</w:t>
      </w:r>
    </w:p>
    <w:p w14:paraId="411CE439" w14:textId="77777777" w:rsidR="00E269E8" w:rsidRPr="00BC2CCA" w:rsidRDefault="00E269E8" w:rsidP="00E269E8">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someone is not considered unfit simply because they took a trustee role or applied for one without any prior knowledge or experience of acting as a trustee or the regulatory requirements for charities, but we make clear to all trustees that they must before or on appointment have read and ensure they understand the key duties of being a trustees, as set out in </w:t>
      </w:r>
      <w:hyperlink r:id="rId11" w:tgtFrame="_blank" w:tooltip="CC3" w:history="1">
        <w:r w:rsidRPr="00BC2CCA">
          <w:rPr>
            <w:rFonts w:eastAsia="Times New Roman" w:cs="Arial"/>
            <w:color w:val="323298"/>
            <w:szCs w:val="24"/>
            <w:lang w:val="en" w:eastAsia="en-GB"/>
          </w:rPr>
          <w:t>The Essential Trustee (CC3)</w:t>
        </w:r>
      </w:hyperlink>
    </w:p>
    <w:p w14:paraId="0C6C3B66" w14:textId="77777777" w:rsidR="00E269E8" w:rsidRPr="00BC2CCA" w:rsidRDefault="00E269E8" w:rsidP="00E269E8">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check to see if the person holds themselves out as, or is or has been, a professional trustee, where on unfitness around competence, we have made clear it is reasonable to expect them to demonstrate a higher standard of care and skill as reflects the profession or expertise they profess to have. If so, check if they have been remunerated for any special skill they have</w:t>
      </w:r>
    </w:p>
    <w:p w14:paraId="2F2F5F9E" w14:textId="77777777" w:rsidR="00E269E8" w:rsidRPr="00BC2CCA" w:rsidRDefault="00E269E8" w:rsidP="00E269E8">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where the person we propose to disqualify is not currently a trustee, in light of the statutory criteria (in particular the public interest test and the need to act proportionately) we should specifically consider what relationships the person has had with charities in the past and any likely relevant relationship with charity in the future.</w:t>
      </w:r>
    </w:p>
    <w:p w14:paraId="477406A4" w14:textId="77777777" w:rsidR="00E269E8" w:rsidRPr="00BC2CCA" w:rsidRDefault="00E269E8" w:rsidP="00E269E8">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whilst a person should not be able to avoid disqualification by simply undertaking not to have anything to do with a charity in the future, the fact they say they will avoid any charity cannot be ignored - as the Explanatory Statement says it is one of the balancing mitigating features we will consider.</w:t>
      </w:r>
    </w:p>
    <w:p w14:paraId="492F9E0A" w14:textId="77777777" w:rsidR="00E269E8" w:rsidRPr="00BC2CCA" w:rsidRDefault="00E269E8" w:rsidP="00E269E8">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when deciding whether or not to make a disqualification order as a result of a caution in Condition A or a conviction in Condition B, the case officer should consider: </w:t>
      </w:r>
    </w:p>
    <w:p w14:paraId="42CEC504" w14:textId="77777777" w:rsidR="00E269E8" w:rsidRPr="00BC2CCA" w:rsidRDefault="00E269E8" w:rsidP="00E269E8">
      <w:pPr>
        <w:numPr>
          <w:ilvl w:val="1"/>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seriousness of the offence and circumstances in which it was committed</w:t>
      </w:r>
    </w:p>
    <w:p w14:paraId="11690D10" w14:textId="77777777" w:rsidR="00E269E8" w:rsidRPr="00BC2CCA" w:rsidRDefault="00E269E8" w:rsidP="00E269E8">
      <w:pPr>
        <w:numPr>
          <w:ilvl w:val="1"/>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any relevant circumstances as to why a caution was offered or accepted</w:t>
      </w:r>
    </w:p>
    <w:p w14:paraId="0626D3CA" w14:textId="77777777" w:rsidR="00E269E8" w:rsidRPr="00BC2CCA" w:rsidRDefault="00E269E8" w:rsidP="00E269E8">
      <w:pPr>
        <w:numPr>
          <w:ilvl w:val="1"/>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relevant concerns raised about any court or other legal processes, or compliance with the right to a fair trial</w:t>
      </w:r>
    </w:p>
    <w:p w14:paraId="1A97AFF9" w14:textId="77777777" w:rsidR="00E269E8" w:rsidRPr="00BC2CCA" w:rsidRDefault="00E269E8" w:rsidP="00E269E8">
      <w:pPr>
        <w:numPr>
          <w:ilvl w:val="1"/>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as regards overseas convictions, whether the standards of evidence and justice would be likely to be accepted in a UK or European court</w:t>
      </w:r>
    </w:p>
    <w:p w14:paraId="484690CA" w14:textId="77777777" w:rsidR="00E269E8" w:rsidRPr="00BC2CCA" w:rsidRDefault="00E269E8" w:rsidP="00E269E8">
      <w:pPr>
        <w:numPr>
          <w:ilvl w:val="1"/>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principles of rehabilitation and the Rehabilitation of Offenders Act 1974.</w:t>
      </w:r>
    </w:p>
    <w:p w14:paraId="2772967E"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720435A3" w14:textId="1A6065A6" w:rsidR="00E269E8" w:rsidRPr="00BC2CCA" w:rsidRDefault="00E269E8" w:rsidP="00E269E8">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lastRenderedPageBreak/>
        <w:t>if we are proposing to disqualify a person under either condition D or E of section 181A(7) then the case officer needs to first make a finding or misconduct or mismanagement</w:t>
      </w:r>
      <w:r w:rsidR="0079060B">
        <w:rPr>
          <w:rFonts w:eastAsia="Times New Roman" w:cs="Arial"/>
          <w:color w:val="262626"/>
          <w:szCs w:val="24"/>
          <w:lang w:val="en" w:eastAsia="en-GB"/>
        </w:rPr>
        <w:t>.</w:t>
      </w:r>
      <w:r w:rsidRPr="00BC2CCA">
        <w:rPr>
          <w:rFonts w:eastAsia="Times New Roman" w:cs="Arial"/>
          <w:color w:val="262626"/>
          <w:szCs w:val="24"/>
          <w:lang w:val="en" w:eastAsia="en-GB"/>
        </w:rPr>
        <w:t xml:space="preserve"> </w:t>
      </w:r>
    </w:p>
    <w:p w14:paraId="268AB490" w14:textId="77777777" w:rsidR="00E269E8" w:rsidRPr="00BC2CCA" w:rsidRDefault="00E269E8" w:rsidP="00E269E8">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Orders made under this power have a direct effect on individuals. The case officer should consider the circumstances of the case in line with the Commission’s duties as a public authority and the duties which may arise under the Equality Act 2010 and the Human Rights Act 1998.</w:t>
      </w:r>
    </w:p>
    <w:p w14:paraId="323DC604"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06E248CB" w14:textId="77777777" w:rsidR="00E269E8" w:rsidRPr="00BC2CCA" w:rsidRDefault="00E269E8" w:rsidP="00CD55E3">
      <w:pPr>
        <w:pStyle w:val="Heading3"/>
        <w:rPr>
          <w:rFonts w:eastAsia="Times New Roman"/>
          <w:lang w:val="en" w:eastAsia="en-GB"/>
        </w:rPr>
      </w:pPr>
      <w:bookmarkStart w:id="11" w:name="_Toc155680330"/>
      <w:r w:rsidRPr="00BC2CCA">
        <w:rPr>
          <w:rFonts w:eastAsia="Times New Roman"/>
          <w:lang w:val="en" w:eastAsia="en-GB"/>
        </w:rPr>
        <w:t>B2.2 Key case handling points to remember when using this power</w:t>
      </w:r>
      <w:bookmarkEnd w:id="11"/>
      <w:r w:rsidRPr="00BC2CCA">
        <w:rPr>
          <w:rFonts w:eastAsia="Times New Roman"/>
          <w:lang w:val="en" w:eastAsia="en-GB"/>
        </w:rPr>
        <w:t xml:space="preserve"> </w:t>
      </w:r>
    </w:p>
    <w:p w14:paraId="320F5635"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There are a number of key case handling points to check when using this power: </w:t>
      </w:r>
    </w:p>
    <w:p w14:paraId="116B0D84"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b/>
          <w:bCs/>
          <w:color w:val="262626"/>
          <w:szCs w:val="24"/>
          <w:lang w:val="en" w:eastAsia="en-GB"/>
        </w:rPr>
        <w:br/>
        <w:t>Establishing the facts</w:t>
      </w:r>
      <w:r w:rsidRPr="00BC2CCA">
        <w:rPr>
          <w:rFonts w:eastAsia="Times New Roman" w:cs="Arial"/>
          <w:color w:val="262626"/>
          <w:szCs w:val="24"/>
          <w:lang w:val="en" w:eastAsia="en-GB"/>
        </w:rPr>
        <w:t xml:space="preserve"> </w:t>
      </w:r>
    </w:p>
    <w:p w14:paraId="52F247C2" w14:textId="77777777" w:rsidR="00E269E8" w:rsidRDefault="00E269E8" w:rsidP="00E269E8">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if the power is being used in the course of an existing compliance or monitoring case or inquiry then a sufficient fact finding exercise about the conduct of concern may have already taken place. The interviews and meetings with the individual, other trustees and other witnesses as part of that case, may be some or all of the evidence being relied on for the disqualification. Be clear as to what forms part of the evidence and what does not.</w:t>
      </w:r>
    </w:p>
    <w:p w14:paraId="0E905908" w14:textId="77777777" w:rsidR="00B92450" w:rsidRPr="00715358" w:rsidRDefault="00B92450" w:rsidP="00B92450">
      <w:pPr>
        <w:pBdr>
          <w:bottom w:val="single" w:sz="12" w:space="1" w:color="auto"/>
        </w:pBdr>
        <w:shd w:val="clear" w:color="auto" w:fill="FFFFFF"/>
        <w:spacing w:before="240" w:after="240" w:line="276" w:lineRule="auto"/>
        <w:rPr>
          <w:rFonts w:cs="Arial"/>
          <w:color w:val="262626"/>
          <w:szCs w:val="24"/>
          <w:lang w:val="en"/>
        </w:rPr>
      </w:pPr>
      <w:r w:rsidRPr="00715358">
        <w:rPr>
          <w:rFonts w:cs="Arial"/>
          <w:color w:val="262626"/>
          <w:szCs w:val="24"/>
          <w:lang w:val="en"/>
        </w:rPr>
        <w:t xml:space="preserve">It is important that we have engaged directly with the individual that you are considering disqualifying before any notice of intention is issued.  In most instances you will already have had extensive engagement with them regarding the evidence that you will use in the Statement of Reasons, and they will have had an opportunity to comment on the regulatory concerns. In these circumstances, you can proceed to issue notice of intention to disqualify. </w:t>
      </w:r>
    </w:p>
    <w:p w14:paraId="1E90F4CF" w14:textId="77777777" w:rsidR="0009783B" w:rsidRDefault="00B92450" w:rsidP="0009783B">
      <w:pPr>
        <w:pBdr>
          <w:bottom w:val="single" w:sz="12" w:space="1" w:color="auto"/>
        </w:pBdr>
        <w:shd w:val="clear" w:color="auto" w:fill="FFFFFF"/>
        <w:spacing w:before="240" w:after="240" w:line="276" w:lineRule="auto"/>
        <w:rPr>
          <w:rFonts w:cs="Arial"/>
          <w:color w:val="262626"/>
          <w:szCs w:val="24"/>
          <w:lang w:val="en"/>
        </w:rPr>
      </w:pPr>
      <w:r w:rsidRPr="00715358">
        <w:rPr>
          <w:rFonts w:cs="Arial"/>
          <w:color w:val="262626"/>
          <w:szCs w:val="24"/>
          <w:lang w:val="en"/>
        </w:rPr>
        <w:t>In the instances when you have had no previous engagement with the individual you must issue a letter setting out the concerns about their conduct and seek out their comments. Alternatively you can invite them to a taped meeting.. If they do not respond or choose not to take this opportunity, you need not pursue this before issuing the notice but you must first ensure that you have made reasonable attempts to secure a response by using all known contact methods such as using all known email and phone contact details</w:t>
      </w:r>
    </w:p>
    <w:p w14:paraId="093A9447" w14:textId="77777777" w:rsidR="0009783B" w:rsidRDefault="0009783B" w:rsidP="0009783B">
      <w:pPr>
        <w:pBdr>
          <w:bottom w:val="single" w:sz="12" w:space="1" w:color="auto"/>
        </w:pBdr>
        <w:shd w:val="clear" w:color="auto" w:fill="FFFFFF"/>
        <w:spacing w:before="240" w:after="240" w:line="276" w:lineRule="auto"/>
        <w:rPr>
          <w:rFonts w:cs="Arial"/>
          <w:color w:val="262626"/>
          <w:szCs w:val="24"/>
          <w:lang w:val="en"/>
        </w:rPr>
      </w:pPr>
    </w:p>
    <w:p w14:paraId="5F710610" w14:textId="3A0C6990" w:rsidR="00E269E8" w:rsidRPr="0009783B" w:rsidRDefault="00E269E8" w:rsidP="0009783B">
      <w:pPr>
        <w:pBdr>
          <w:bottom w:val="single" w:sz="12" w:space="1" w:color="auto"/>
        </w:pBdr>
        <w:shd w:val="clear" w:color="auto" w:fill="FFFFFF"/>
        <w:spacing w:before="240" w:after="240" w:line="276" w:lineRule="auto"/>
        <w:rPr>
          <w:rFonts w:eastAsia="Times New Roman" w:cs="Arial"/>
          <w:color w:val="262626"/>
          <w:szCs w:val="24"/>
          <w:lang w:val="en" w:eastAsia="en-GB"/>
        </w:rPr>
      </w:pPr>
      <w:r w:rsidRPr="0009783B">
        <w:rPr>
          <w:rFonts w:eastAsia="Times New Roman" w:cs="Arial"/>
          <w:b/>
          <w:bCs/>
          <w:color w:val="262626"/>
          <w:szCs w:val="24"/>
          <w:lang w:val="en" w:eastAsia="en-GB"/>
        </w:rPr>
        <w:t>Scope of order and exceptions</w:t>
      </w:r>
      <w:r w:rsidRPr="0009783B">
        <w:rPr>
          <w:rFonts w:eastAsia="Times New Roman" w:cs="Arial"/>
          <w:color w:val="262626"/>
          <w:szCs w:val="24"/>
          <w:lang w:val="en" w:eastAsia="en-GB"/>
        </w:rPr>
        <w:t xml:space="preserve"> </w:t>
      </w:r>
    </w:p>
    <w:p w14:paraId="0E026BB5" w14:textId="77777777" w:rsidR="00E269E8" w:rsidRPr="00BC2CCA" w:rsidRDefault="00E269E8" w:rsidP="00E269E8">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should the disqualification be in relation to a particular charity, class of charity or all charities?</w:t>
      </w:r>
    </w:p>
    <w:p w14:paraId="0DEAB4B5" w14:textId="77777777" w:rsidR="00E269E8" w:rsidRPr="00BC2CCA" w:rsidRDefault="00E269E8" w:rsidP="00E269E8">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lastRenderedPageBreak/>
        <w:t>are there grounds for the order to except the person from disqualification either generally in respect of positions with senior management functions or in relation to a specific office or employment?</w:t>
      </w:r>
    </w:p>
    <w:p w14:paraId="00232ED8" w14:textId="410EC9EC" w:rsidR="00E269E8" w:rsidRPr="00BC2CCA" w:rsidRDefault="00E269E8" w:rsidP="00E269E8">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how long should the period of disqualification be? – guidance on how we decide the scope and period of disqualification is contained in the </w:t>
      </w:r>
      <w:r w:rsidRPr="00BC2CCA">
        <w:rPr>
          <w:rFonts w:eastAsia="Times New Roman" w:cs="Arial"/>
          <w:color w:val="323298"/>
          <w:szCs w:val="24"/>
          <w:u w:val="single"/>
          <w:lang w:val="en" w:eastAsia="en-GB"/>
        </w:rPr>
        <w:t>Explanatory Statement</w:t>
      </w:r>
      <w:r w:rsidRPr="00BC2CCA">
        <w:rPr>
          <w:rFonts w:eastAsia="Times New Roman" w:cs="Arial"/>
          <w:color w:val="262626"/>
          <w:szCs w:val="24"/>
          <w:lang w:val="en" w:eastAsia="en-GB"/>
        </w:rPr>
        <w:t>. In deciding what is a proportionate period of time, the case officer should have regard to the following three principles which will underpin any decision made regarding the period of disqualification. No one principle should be more important than any other and in practice they may all be relevant to a greater or lesser degree in any individual case:</w:t>
      </w:r>
    </w:p>
    <w:p w14:paraId="60C8B297" w14:textId="77777777" w:rsidR="00E269E8" w:rsidRPr="00BC2CCA" w:rsidRDefault="00E269E8" w:rsidP="00E269E8">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Protection: the need to provide protection to charities and the public to prevent persons, whose past or ongoing actions mean they are unfit to be a trustee</w:t>
      </w:r>
    </w:p>
    <w:p w14:paraId="0E782573" w14:textId="77777777" w:rsidR="00E269E8" w:rsidRPr="00BC2CCA" w:rsidRDefault="00E269E8" w:rsidP="00E269E8">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Rehabilitation: the possibility of reform and rehabilitation of the person and re-integration into the sector</w:t>
      </w:r>
    </w:p>
    <w:p w14:paraId="32415F6E" w14:textId="77777777" w:rsidR="00E269E8" w:rsidRPr="00BC2CCA" w:rsidRDefault="00E269E8" w:rsidP="00E269E8">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Deterrence: the deterrent effect on both the person being disqualified and on the extent of unfit conduct in the management of charities</w:t>
      </w:r>
    </w:p>
    <w:p w14:paraId="10F6D0B6"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b/>
          <w:bCs/>
          <w:color w:val="262626"/>
          <w:szCs w:val="24"/>
          <w:lang w:val="en" w:eastAsia="en-GB"/>
        </w:rPr>
        <w:t>Process</w:t>
      </w:r>
      <w:r w:rsidRPr="00BC2CCA">
        <w:rPr>
          <w:rFonts w:eastAsia="Times New Roman" w:cs="Arial"/>
          <w:color w:val="262626"/>
          <w:szCs w:val="24"/>
          <w:lang w:val="en" w:eastAsia="en-GB"/>
        </w:rPr>
        <w:t xml:space="preserve"> </w:t>
      </w:r>
    </w:p>
    <w:p w14:paraId="67B1901C" w14:textId="77777777" w:rsidR="00E269E8" w:rsidRPr="00BC2CCA" w:rsidRDefault="00E269E8" w:rsidP="00E269E8">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authorisation must be obtained at the right level for the use of the power (see section 4)</w:t>
      </w:r>
    </w:p>
    <w:p w14:paraId="6D24C9B4"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75D79374" w14:textId="77777777" w:rsidR="00E269E8" w:rsidRPr="00BC2CCA" w:rsidRDefault="00E269E8" w:rsidP="00E269E8">
      <w:pPr>
        <w:numPr>
          <w:ilvl w:val="1"/>
          <w:numId w:val="1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application and consistency of our published policy approach</w:t>
      </w:r>
    </w:p>
    <w:p w14:paraId="6A40AF6A" w14:textId="77777777" w:rsidR="00E269E8" w:rsidRPr="00BC2CCA" w:rsidRDefault="00E269E8" w:rsidP="00E269E8">
      <w:pPr>
        <w:numPr>
          <w:ilvl w:val="1"/>
          <w:numId w:val="1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level of risk of successful legal challenge</w:t>
      </w:r>
    </w:p>
    <w:p w14:paraId="4E967376" w14:textId="2C8BC61A" w:rsidR="00E269E8" w:rsidRPr="00BC2CCA" w:rsidRDefault="00E269E8" w:rsidP="00E269E8">
      <w:pPr>
        <w:numPr>
          <w:ilvl w:val="1"/>
          <w:numId w:val="1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assurance that the specific proposals are in compliance with our obligations on human rights, equality and public administrative decision making - see section 3 of </w:t>
      </w:r>
      <w:r w:rsidRPr="00BC2CCA">
        <w:rPr>
          <w:rFonts w:eastAsia="Times New Roman" w:cs="Arial"/>
          <w:color w:val="323298"/>
          <w:szCs w:val="24"/>
          <w:lang w:val="en" w:eastAsia="en-GB"/>
        </w:rPr>
        <w:t>OG117-1</w:t>
      </w:r>
      <w:r w:rsidRPr="00BC2CCA">
        <w:rPr>
          <w:rFonts w:eastAsia="Times New Roman" w:cs="Arial"/>
          <w:color w:val="262626"/>
          <w:szCs w:val="24"/>
          <w:lang w:val="en" w:eastAsia="en-GB"/>
        </w:rPr>
        <w:t xml:space="preserve"> for more guidance.</w:t>
      </w:r>
    </w:p>
    <w:p w14:paraId="7CD85CAA" w14:textId="5076A692" w:rsidR="00E269E8" w:rsidRPr="00BC2CCA" w:rsidRDefault="00E269E8" w:rsidP="00E269E8">
      <w:pPr>
        <w:numPr>
          <w:ilvl w:val="0"/>
          <w:numId w:val="1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once the disqualification order is effective (</w:t>
      </w:r>
      <w:r w:rsidRPr="00BC2CCA">
        <w:rPr>
          <w:rFonts w:eastAsia="Times New Roman" w:cs="Arial"/>
          <w:color w:val="323298"/>
          <w:szCs w:val="24"/>
          <w:lang w:val="en" w:eastAsia="en-GB"/>
        </w:rPr>
        <w:t>see 1.1</w:t>
      </w:r>
      <w:r w:rsidRPr="00BC2CCA">
        <w:rPr>
          <w:rFonts w:eastAsia="Times New Roman" w:cs="Arial"/>
          <w:color w:val="262626"/>
          <w:szCs w:val="24"/>
          <w:lang w:val="en" w:eastAsia="en-GB"/>
        </w:rPr>
        <w:t xml:space="preserve">), the name of the disqualified person must be included on the </w:t>
      </w:r>
      <w:hyperlink r:id="rId12" w:tgtFrame="_blank" w:tooltip="Register of removed trustees" w:history="1">
        <w:r w:rsidRPr="00BC2CCA">
          <w:rPr>
            <w:rFonts w:eastAsia="Times New Roman" w:cs="Arial"/>
            <w:color w:val="323298"/>
            <w:szCs w:val="24"/>
            <w:lang w:val="en" w:eastAsia="en-GB"/>
          </w:rPr>
          <w:t>register of removed persons</w:t>
        </w:r>
      </w:hyperlink>
      <w:r w:rsidRPr="00BC2CCA">
        <w:rPr>
          <w:rFonts w:eastAsia="Times New Roman" w:cs="Arial"/>
          <w:color w:val="262626"/>
          <w:szCs w:val="24"/>
          <w:lang w:val="en" w:eastAsia="en-GB"/>
        </w:rPr>
        <w:t xml:space="preserve"> (see section 3.5)</w:t>
      </w:r>
    </w:p>
    <w:p w14:paraId="15245226"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b/>
          <w:bCs/>
          <w:color w:val="262626"/>
          <w:szCs w:val="24"/>
          <w:lang w:val="en" w:eastAsia="en-GB"/>
        </w:rPr>
        <w:t>Suspension</w:t>
      </w:r>
      <w:r w:rsidRPr="00BC2CCA">
        <w:rPr>
          <w:rFonts w:eastAsia="Times New Roman" w:cs="Arial"/>
          <w:color w:val="262626"/>
          <w:szCs w:val="24"/>
          <w:lang w:val="en" w:eastAsia="en-GB"/>
        </w:rPr>
        <w:t xml:space="preserve"> </w:t>
      </w:r>
    </w:p>
    <w:p w14:paraId="2D704516" w14:textId="40A8142F" w:rsidR="00E269E8" w:rsidRPr="00BC2CCA" w:rsidRDefault="00E269E8" w:rsidP="00E269E8">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If the person is a serving trustee, case officers should also consider suspension pending disqualification – this power can be used only where notice of intention to disqualify has been given. This is a new and separate power from the suspension power under section 76 (see </w:t>
      </w:r>
      <w:r w:rsidRPr="00BC2CCA">
        <w:rPr>
          <w:rFonts w:eastAsia="Times New Roman" w:cs="Arial"/>
          <w:color w:val="323298"/>
          <w:szCs w:val="24"/>
          <w:lang w:val="en" w:eastAsia="en-GB"/>
        </w:rPr>
        <w:t>section 3.2</w:t>
      </w:r>
      <w:r w:rsidRPr="00BC2CCA">
        <w:rPr>
          <w:rFonts w:eastAsia="Times New Roman" w:cs="Arial"/>
          <w:color w:val="262626"/>
          <w:szCs w:val="24"/>
          <w:lang w:val="en" w:eastAsia="en-GB"/>
        </w:rPr>
        <w:t>)</w:t>
      </w:r>
    </w:p>
    <w:p w14:paraId="5E943296" w14:textId="77777777" w:rsidR="00E269E8" w:rsidRPr="00BC2CCA" w:rsidRDefault="00E269E8" w:rsidP="00CD55E3">
      <w:pPr>
        <w:pStyle w:val="Heading3"/>
        <w:rPr>
          <w:rFonts w:eastAsia="Times New Roman"/>
          <w:lang w:val="en" w:eastAsia="en-GB"/>
        </w:rPr>
      </w:pPr>
      <w:bookmarkStart w:id="12" w:name="_Toc155680331"/>
      <w:r w:rsidRPr="00BC2CCA">
        <w:rPr>
          <w:rFonts w:eastAsia="Times New Roman"/>
          <w:lang w:val="en" w:eastAsia="en-GB"/>
        </w:rPr>
        <w:lastRenderedPageBreak/>
        <w:t>B3. Process for making orders to suspend and disqualify</w:t>
      </w:r>
      <w:bookmarkEnd w:id="12"/>
      <w:r w:rsidRPr="00BC2CCA">
        <w:rPr>
          <w:rFonts w:eastAsia="Times New Roman"/>
          <w:lang w:val="en" w:eastAsia="en-GB"/>
        </w:rPr>
        <w:t xml:space="preserve"> </w:t>
      </w:r>
    </w:p>
    <w:p w14:paraId="76659302" w14:textId="2A53FDD2"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When we have decided, based on the factors set out in the </w:t>
      </w:r>
      <w:r w:rsidRPr="00BC2CCA">
        <w:rPr>
          <w:rFonts w:eastAsia="Times New Roman" w:cs="Arial"/>
          <w:color w:val="323298"/>
          <w:szCs w:val="24"/>
          <w:u w:val="single"/>
          <w:lang w:val="en" w:eastAsia="en-GB"/>
        </w:rPr>
        <w:t>Explanatory Statement</w:t>
      </w:r>
      <w:r w:rsidRPr="00BC2CCA">
        <w:rPr>
          <w:rFonts w:eastAsia="Times New Roman" w:cs="Arial"/>
          <w:color w:val="262626"/>
          <w:szCs w:val="24"/>
          <w:lang w:val="en" w:eastAsia="en-GB"/>
        </w:rPr>
        <w:t xml:space="preserve"> and with authorisation that the three statutory criteria for the use of this power have been met, and have decided to proceed with making the order, it is important that the statutory process is followed to proceed with the proposal to make the disqualification order and, if needed, the suspension order. </w:t>
      </w:r>
    </w:p>
    <w:p w14:paraId="31C5B0DC"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26E209C3" w14:textId="381CF506" w:rsidR="00E269E8" w:rsidRDefault="00E269E8" w:rsidP="00410E6E">
      <w:pPr>
        <w:pStyle w:val="Heading3"/>
        <w:rPr>
          <w:rFonts w:eastAsia="Times New Roman"/>
          <w:lang w:val="en" w:eastAsia="en-GB"/>
        </w:rPr>
      </w:pPr>
      <w:bookmarkStart w:id="13" w:name="_Toc155680332"/>
      <w:r w:rsidRPr="00BC2CCA">
        <w:rPr>
          <w:rFonts w:eastAsia="Times New Roman"/>
          <w:lang w:val="en" w:eastAsia="en-GB"/>
        </w:rPr>
        <w:t>B3.1 Notice requirements before deciding to make the disqualification order</w:t>
      </w:r>
      <w:bookmarkEnd w:id="13"/>
      <w:r w:rsidRPr="00BC2CCA">
        <w:rPr>
          <w:rFonts w:eastAsia="Times New Roman"/>
          <w:lang w:val="en" w:eastAsia="en-GB"/>
        </w:rPr>
        <w:t xml:space="preserve"> </w:t>
      </w:r>
    </w:p>
    <w:p w14:paraId="3549218E" w14:textId="77777777" w:rsidR="00410E6E" w:rsidRDefault="00410E6E" w:rsidP="00410E6E">
      <w:pPr>
        <w:rPr>
          <w:lang w:val="en" w:eastAsia="en-GB"/>
        </w:rPr>
      </w:pPr>
    </w:p>
    <w:p w14:paraId="08D0D347"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lang w:val="en"/>
        </w:rPr>
        <w:t xml:space="preserve">There are three different types of notice to be considered and sent (where appropriate) before you make can make a disqualification Order: </w:t>
      </w:r>
    </w:p>
    <w:p w14:paraId="4E45F7E6"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u w:val="single"/>
          <w:lang w:val="en"/>
        </w:rPr>
        <w:t>A.</w:t>
      </w:r>
      <w:r w:rsidRPr="00027691">
        <w:rPr>
          <w:rFonts w:cs="Arial"/>
          <w:color w:val="262626"/>
          <w:szCs w:val="24"/>
          <w:lang w:val="en"/>
        </w:rPr>
        <w:t xml:space="preserve">  </w:t>
      </w:r>
      <w:r w:rsidRPr="00027691">
        <w:rPr>
          <w:rFonts w:cs="Arial"/>
          <w:b/>
          <w:bCs/>
          <w:color w:val="262626"/>
          <w:szCs w:val="24"/>
          <w:lang w:val="en"/>
        </w:rPr>
        <w:t>To the subject individual</w:t>
      </w:r>
      <w:r w:rsidRPr="00027691">
        <w:rPr>
          <w:rFonts w:cs="Arial"/>
          <w:color w:val="262626"/>
          <w:szCs w:val="24"/>
          <w:lang w:val="en"/>
        </w:rPr>
        <w:t xml:space="preserve">. As set out above, you must already have contacted the individual before issuing the notice of intention so that they have had a right to reply.  Then in all cases you must, under section 181C (1), give the person you propose to disqualify at least one month’s prior notice of our intention to disqualify them. This must include our reasons and invite representations within a specified time, which will usually be one calendar month plus two days from the date on which we send the notice letter. We are not required by the Act to send the person we are intending to disqualify a draft Statement of Reasons (section 181C(1)(a) provides that we must give them notice of our proposals which is ‘to contain such particulars of the proposals, or such directions for obtaining information about them as the Commission thinks sufficient and appropriate’). However, our policy is to give them notice of the proposals by means of a provisional </w:t>
      </w:r>
      <w:r w:rsidRPr="00027691">
        <w:rPr>
          <w:rFonts w:cs="Arial"/>
          <w:szCs w:val="24"/>
          <w:lang w:val="en"/>
        </w:rPr>
        <w:t>Statement of Reasons</w:t>
      </w:r>
      <w:r w:rsidRPr="00027691">
        <w:rPr>
          <w:rFonts w:cs="Arial"/>
          <w:color w:val="262626"/>
          <w:szCs w:val="24"/>
          <w:lang w:val="en"/>
        </w:rPr>
        <w:t xml:space="preserve">. This will include details of the period for which we are proposing to disqualify them. This document will be updated to become the final Statement of Reasons once the Order is made. </w:t>
      </w:r>
    </w:p>
    <w:p w14:paraId="6D4419BA"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lang w:val="en"/>
        </w:rPr>
        <w:t xml:space="preserve">The requirement to send this notice does not apply if the person cannot be found or has no known address in the United Kingdom. </w:t>
      </w:r>
    </w:p>
    <w:p w14:paraId="689BF957"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lang w:val="en"/>
        </w:rPr>
        <w:t xml:space="preserve">To be validly served, notice should be sent by post or hand delivered if it is an address in the UK. Also send an email if possible. You should check that the postal and email addresses you use for the person are the most up to date. </w:t>
      </w:r>
    </w:p>
    <w:p w14:paraId="42B979B6"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u w:val="single"/>
          <w:lang w:val="en"/>
        </w:rPr>
        <w:t>B.</w:t>
      </w:r>
      <w:r w:rsidRPr="00027691">
        <w:rPr>
          <w:rFonts w:cs="Arial"/>
          <w:color w:val="262626"/>
          <w:szCs w:val="24"/>
          <w:lang w:val="en"/>
        </w:rPr>
        <w:t xml:space="preserve">  </w:t>
      </w:r>
      <w:r w:rsidRPr="00027691">
        <w:rPr>
          <w:rFonts w:cs="Arial"/>
          <w:b/>
          <w:bCs/>
          <w:color w:val="262626"/>
          <w:szCs w:val="24"/>
          <w:lang w:val="en"/>
        </w:rPr>
        <w:t xml:space="preserve">The charity trustees. </w:t>
      </w:r>
      <w:r w:rsidRPr="00027691">
        <w:rPr>
          <w:rFonts w:cs="Arial"/>
          <w:color w:val="262626"/>
          <w:szCs w:val="24"/>
          <w:lang w:val="en"/>
        </w:rPr>
        <w:t xml:space="preserve">If you know or have reason to believe that the person you are proposing to disqualify is a trustee (whether charity trustee or holding trustee) then under section 181C (2) you must give notice of our proposals to each of the charity trustees, by sending them a copy of the provisional </w:t>
      </w:r>
      <w:r w:rsidRPr="00027691">
        <w:rPr>
          <w:rFonts w:cs="Arial"/>
          <w:szCs w:val="24"/>
          <w:lang w:val="en"/>
        </w:rPr>
        <w:t>Statement of Reasons</w:t>
      </w:r>
      <w:r w:rsidRPr="00027691">
        <w:rPr>
          <w:rFonts w:cs="Arial"/>
          <w:color w:val="262626"/>
          <w:szCs w:val="24"/>
          <w:lang w:val="en"/>
        </w:rPr>
        <w:t xml:space="preserve">. Although the Act does not require us to invite representations from those trustees, the model letter offers them this opportunity. </w:t>
      </w:r>
    </w:p>
    <w:p w14:paraId="607F25AA"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lang w:val="en"/>
        </w:rPr>
        <w:lastRenderedPageBreak/>
        <w:t>If the person you are proposing to disqualify is a trustee of more than one charity, notify the other trustees of all charities for which the person is a trustee. If this raises concerns (</w:t>
      </w:r>
      <w:proofErr w:type="spellStart"/>
      <w:r w:rsidRPr="00027691">
        <w:rPr>
          <w:rFonts w:cs="Arial"/>
          <w:color w:val="262626"/>
          <w:szCs w:val="24"/>
          <w:lang w:val="en"/>
        </w:rPr>
        <w:t>eg.</w:t>
      </w:r>
      <w:proofErr w:type="spellEnd"/>
      <w:r w:rsidRPr="00027691">
        <w:rPr>
          <w:rFonts w:cs="Arial"/>
          <w:color w:val="262626"/>
          <w:szCs w:val="24"/>
          <w:lang w:val="en"/>
        </w:rPr>
        <w:t xml:space="preserve"> with regard to human rights considerations</w:t>
      </w:r>
      <w:r>
        <w:rPr>
          <w:rFonts w:cs="Arial"/>
          <w:color w:val="262626"/>
          <w:szCs w:val="24"/>
          <w:lang w:val="en"/>
        </w:rPr>
        <w:t xml:space="preserve"> or the disclosure of sensitive information which does not relate to that particular charity</w:t>
      </w:r>
      <w:r w:rsidRPr="00027691">
        <w:rPr>
          <w:rFonts w:cs="Arial"/>
          <w:color w:val="262626"/>
          <w:szCs w:val="24"/>
          <w:lang w:val="en"/>
        </w:rPr>
        <w:t xml:space="preserve">), seek advice from Legal.  </w:t>
      </w:r>
    </w:p>
    <w:p w14:paraId="08D4CFD7"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lang w:val="en"/>
        </w:rPr>
        <w:t xml:space="preserve">We normally send notice to the person we are disqualifying the day before we send notice to the other charity trustees. If you consider that there is a particular reason why notices to the person being disqualified and the other charity trustees should be sent on the same day, should discuss this with your manager. </w:t>
      </w:r>
    </w:p>
    <w:p w14:paraId="67361FDA"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u w:val="single"/>
          <w:lang w:val="en"/>
        </w:rPr>
        <w:t>C.</w:t>
      </w:r>
      <w:r w:rsidRPr="00027691">
        <w:rPr>
          <w:rFonts w:cs="Arial"/>
          <w:color w:val="262626"/>
          <w:szCs w:val="24"/>
          <w:lang w:val="en"/>
        </w:rPr>
        <w:t xml:space="preserve">  </w:t>
      </w:r>
      <w:r w:rsidRPr="00027691">
        <w:rPr>
          <w:rFonts w:cs="Arial"/>
          <w:b/>
          <w:bCs/>
          <w:color w:val="262626"/>
          <w:szCs w:val="24"/>
          <w:lang w:val="en"/>
        </w:rPr>
        <w:t xml:space="preserve">Public notice. </w:t>
      </w:r>
      <w:r w:rsidRPr="00027691">
        <w:rPr>
          <w:rFonts w:cs="Arial"/>
          <w:color w:val="262626"/>
          <w:szCs w:val="24"/>
          <w:lang w:val="en"/>
        </w:rPr>
        <w:t xml:space="preserve">If you know or believe that the person we are proposing to disqualify is a trustee, then under section 181C (3) we are also required to give public notice unless the Commission is satisfied that for any reason such public notice is unnecessary. The criteria for considering public notice are set out in section B6 of </w:t>
      </w:r>
      <w:r w:rsidRPr="00027691">
        <w:rPr>
          <w:rFonts w:cs="Arial"/>
          <w:szCs w:val="24"/>
          <w:lang w:val="en"/>
        </w:rPr>
        <w:t>OG 501 Orders</w:t>
      </w:r>
      <w:r w:rsidRPr="00027691">
        <w:rPr>
          <w:rFonts w:cs="Arial"/>
          <w:color w:val="262626"/>
          <w:szCs w:val="24"/>
          <w:lang w:val="en"/>
        </w:rPr>
        <w:t xml:space="preserve">. If public notice is not given, you must record the reasons for the decision </w:t>
      </w:r>
      <w:r>
        <w:rPr>
          <w:rFonts w:cs="Arial"/>
          <w:color w:val="262626"/>
          <w:szCs w:val="24"/>
          <w:lang w:val="en"/>
        </w:rPr>
        <w:t>on the</w:t>
      </w:r>
      <w:r w:rsidRPr="00027691">
        <w:rPr>
          <w:rFonts w:cs="Arial"/>
          <w:color w:val="262626"/>
          <w:szCs w:val="24"/>
          <w:lang w:val="en"/>
        </w:rPr>
        <w:t xml:space="preserve"> Decision Log. Any public notice must invite representations to be made on the proposals within a time limit which must be specified in the notice, and which will usually be one full month from the date of the public notice. </w:t>
      </w:r>
    </w:p>
    <w:p w14:paraId="2270E99B" w14:textId="77777777" w:rsidR="00410E6E" w:rsidRPr="00027691" w:rsidRDefault="00410E6E" w:rsidP="00410E6E">
      <w:pPr>
        <w:shd w:val="clear" w:color="auto" w:fill="FFFFFF"/>
        <w:spacing w:before="240" w:after="240" w:line="276" w:lineRule="auto"/>
        <w:rPr>
          <w:rFonts w:cs="Arial"/>
          <w:color w:val="262626"/>
          <w:szCs w:val="24"/>
          <w:lang w:val="en"/>
        </w:rPr>
      </w:pPr>
      <w:r w:rsidRPr="00027691">
        <w:rPr>
          <w:rFonts w:cs="Arial"/>
          <w:color w:val="262626"/>
          <w:szCs w:val="24"/>
          <w:lang w:val="en"/>
        </w:rPr>
        <w:t xml:space="preserve">If  public notice is to be given – this will be done by </w:t>
      </w:r>
      <w:hyperlink r:id="rId13" w:tgtFrame="_blank" w:tooltip="Schemes and orders on website" w:history="1">
        <w:r w:rsidRPr="00027691">
          <w:rPr>
            <w:rFonts w:cs="Arial"/>
            <w:color w:val="0000FF"/>
            <w:szCs w:val="24"/>
            <w:u w:val="single"/>
            <w:lang w:val="en"/>
          </w:rPr>
          <w:t>notice on our website</w:t>
        </w:r>
      </w:hyperlink>
      <w:r w:rsidRPr="00027691">
        <w:rPr>
          <w:rFonts w:cs="Arial"/>
          <w:color w:val="262626"/>
          <w:szCs w:val="24"/>
          <w:lang w:val="en"/>
        </w:rPr>
        <w:t xml:space="preserve"> . You should also consider whether we should require a notice to be put on the charity’s website and or/ whether notices should be displayed on the charity’s premises or in the local area of operation, to draw the matter to the attention of the beneficiaries, funders etc. </w:t>
      </w:r>
    </w:p>
    <w:p w14:paraId="7B9B3CF9" w14:textId="77777777" w:rsidR="00410E6E" w:rsidRPr="00410E6E" w:rsidRDefault="00410E6E" w:rsidP="00410E6E">
      <w:pPr>
        <w:rPr>
          <w:lang w:val="en" w:eastAsia="en-GB"/>
        </w:rPr>
      </w:pPr>
    </w:p>
    <w:p w14:paraId="489D392F" w14:textId="77777777" w:rsidR="00E269E8" w:rsidRPr="00BC2CCA" w:rsidRDefault="00E269E8" w:rsidP="00E269E8">
      <w:pPr>
        <w:shd w:val="clear" w:color="auto" w:fill="FFFFFF"/>
        <w:spacing w:after="0" w:line="225" w:lineRule="atLeast"/>
        <w:outlineLvl w:val="3"/>
        <w:rPr>
          <w:rFonts w:eastAsia="Times New Roman" w:cs="Arial"/>
          <w:b/>
          <w:bCs/>
          <w:color w:val="000000"/>
          <w:szCs w:val="24"/>
          <w:lang w:val="en" w:eastAsia="en-GB"/>
        </w:rPr>
      </w:pPr>
      <w:r w:rsidRPr="00BC2CCA">
        <w:rPr>
          <w:rFonts w:eastAsia="Times New Roman" w:cs="Arial"/>
          <w:b/>
          <w:bCs/>
          <w:color w:val="000000"/>
          <w:szCs w:val="24"/>
          <w:lang w:val="en" w:eastAsia="en-GB"/>
        </w:rPr>
        <w:t xml:space="preserve">  </w:t>
      </w:r>
    </w:p>
    <w:p w14:paraId="52A79485" w14:textId="77777777" w:rsidR="00E269E8" w:rsidRPr="00BC2CCA" w:rsidRDefault="00E269E8" w:rsidP="00CD55E3">
      <w:pPr>
        <w:pStyle w:val="Heading3"/>
        <w:rPr>
          <w:rFonts w:eastAsia="Times New Roman"/>
          <w:lang w:val="en" w:eastAsia="en-GB"/>
        </w:rPr>
      </w:pPr>
      <w:bookmarkStart w:id="14" w:name="_Toc155680333"/>
      <w:r w:rsidRPr="00BC2CCA">
        <w:rPr>
          <w:rFonts w:eastAsia="Times New Roman"/>
          <w:lang w:val="en" w:eastAsia="en-GB"/>
        </w:rPr>
        <w:t>B3.2 Suspension pending disqualification</w:t>
      </w:r>
      <w:bookmarkEnd w:id="14"/>
      <w:r w:rsidRPr="00BC2CCA">
        <w:rPr>
          <w:rFonts w:eastAsia="Times New Roman"/>
          <w:lang w:val="en" w:eastAsia="en-GB"/>
        </w:rPr>
        <w:t xml:space="preserve"> </w:t>
      </w:r>
    </w:p>
    <w:p w14:paraId="01F980FF"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Section 181B (4) provides that we can make an order to suspend a person if we have given notice of our intention to make an order to disqualify a person under section 181A. Where we decide to suspend, our policy is that we will send the order to suspend immediately after we send the notice of our intention to disqualify. The order (with the model covering letter) should be sent in a separate envelope to the notice of our intention to disqualify and if we are also sending the order by email, in a separate email sent just after the email with notice of our intention to disqualify. </w:t>
      </w:r>
    </w:p>
    <w:p w14:paraId="5BD65F79" w14:textId="77777777" w:rsidR="00E269E8" w:rsidRPr="00BC2CCA" w:rsidRDefault="00E269E8" w:rsidP="00E269E8">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initial suspension order must be for no longer than 12 months, although at any time before the expiry of the order (i.e. before the 12 months) we can extend the suspension by a further order, provided that the suspension is not extended for more than 12 months and the total period of suspension is not more than 2 years.</w:t>
      </w:r>
    </w:p>
    <w:p w14:paraId="4A197E93" w14:textId="77777777" w:rsidR="00E269E8" w:rsidRPr="00BC2CCA" w:rsidRDefault="00E269E8" w:rsidP="00E269E8">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There are no specific criteria in legislation for considering a suspension order under section 181B(5) and this is not to be confused with the criteria under section 76. If </w:t>
      </w:r>
      <w:r w:rsidRPr="00BC2CCA">
        <w:rPr>
          <w:rFonts w:eastAsia="Times New Roman" w:cs="Arial"/>
          <w:color w:val="262626"/>
          <w:szCs w:val="24"/>
          <w:lang w:val="en" w:eastAsia="en-GB"/>
        </w:rPr>
        <w:lastRenderedPageBreak/>
        <w:t>there are clear grounds to consider giving notice of our intention to disqualify then this will be sufficient to make the grounds for suspension. We can only suspend someone from being a trustee or charity trustee, which will generally cover those who are already in such a position.</w:t>
      </w:r>
    </w:p>
    <w:p w14:paraId="4F19A12C" w14:textId="711F4FBB" w:rsidR="00E269E8" w:rsidRPr="00BC2CCA" w:rsidRDefault="00C36008" w:rsidP="00E269E8">
      <w:pPr>
        <w:shd w:val="clear" w:color="auto" w:fill="FFFFFF"/>
        <w:spacing w:after="0" w:line="346" w:lineRule="atLeast"/>
        <w:rPr>
          <w:rFonts w:eastAsia="Times New Roman" w:cs="Arial"/>
          <w:color w:val="262626"/>
          <w:szCs w:val="24"/>
          <w:lang w:val="en" w:eastAsia="en-GB"/>
        </w:rPr>
      </w:pPr>
      <w:r>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E269E8" w:rsidRPr="00BC2CCA">
        <w:rPr>
          <w:rFonts w:eastAsia="Times New Roman" w:cs="Arial"/>
          <w:color w:val="262626"/>
          <w:szCs w:val="24"/>
          <w:lang w:val="en" w:eastAsia="en-GB"/>
        </w:rPr>
        <w:t xml:space="preserve">However, there may be exceptional cases where this is not the case and, if so, the case officer should seek legal advice. </w:t>
      </w:r>
    </w:p>
    <w:p w14:paraId="2548F1AC"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7A6C2168" w14:textId="77777777" w:rsidR="00E269E8" w:rsidRPr="00BC2CCA" w:rsidRDefault="00E269E8" w:rsidP="00E269E8">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As there are no specific statutory criteria for suspension the case officer should consider the following issues and what evidence there is to support these. However the case for suspension is not restricted to these areas. If in doubt please seek legal advice as to whether a case for suspension is justified: </w:t>
      </w:r>
    </w:p>
    <w:p w14:paraId="214A8F64" w14:textId="77777777" w:rsidR="00E269E8" w:rsidRPr="00BC2CCA" w:rsidRDefault="00E269E8" w:rsidP="00E269E8">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does the person represent a risk of ongoing or immediate harm to the charity or its assets? This could include funds or reputation as well as commercial relationships.</w:t>
      </w:r>
    </w:p>
    <w:p w14:paraId="446BA580" w14:textId="77777777" w:rsidR="00E269E8" w:rsidRPr="00BC2CCA" w:rsidRDefault="00E269E8" w:rsidP="00E269E8">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is there evidence of misconduct and/ or mismanagement by that person which would be temporarily addressed by a suspension order?</w:t>
      </w:r>
    </w:p>
    <w:p w14:paraId="70B905D9" w14:textId="77777777" w:rsidR="00E269E8" w:rsidRPr="00BC2CCA" w:rsidRDefault="00E269E8" w:rsidP="00E269E8">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what evidence is there either to support the person remaining in post or not remaining in post?</w:t>
      </w:r>
    </w:p>
    <w:p w14:paraId="05225AAF" w14:textId="77777777" w:rsidR="00E269E8" w:rsidRPr="00BC2CCA" w:rsidRDefault="00E269E8" w:rsidP="00E269E8">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is the suspension in line with best regulatory practice and the Commission’s duties as a public body e.g. in relation to equalities and human rights issues?</w:t>
      </w:r>
    </w:p>
    <w:p w14:paraId="11FDA100" w14:textId="77777777" w:rsidR="00E269E8" w:rsidRPr="00BC2CCA" w:rsidRDefault="00E269E8" w:rsidP="00E269E8">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consider whether, if making the order, the order needs to make provision, </w:t>
      </w:r>
    </w:p>
    <w:p w14:paraId="4A164408" w14:textId="77777777" w:rsidR="00E269E8" w:rsidRPr="00BC2CCA" w:rsidRDefault="00E269E8" w:rsidP="00E269E8">
      <w:pPr>
        <w:numPr>
          <w:ilvl w:val="2"/>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(a) for enabling any person to execute any instrument in the suspended person’s name or otherwise act for that person, and</w:t>
      </w:r>
    </w:p>
    <w:p w14:paraId="533CC83D" w14:textId="77777777" w:rsidR="00E269E8" w:rsidRPr="00BC2CCA" w:rsidRDefault="00E269E8" w:rsidP="00E269E8">
      <w:pPr>
        <w:numPr>
          <w:ilvl w:val="2"/>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(b) in the case of a charity trustee, for adjusting any rules governing the proceedings of the charity trustees to take account of the reduction in the number capable of acting</w:t>
      </w:r>
    </w:p>
    <w:p w14:paraId="5DDAA420" w14:textId="77777777" w:rsidR="00E269E8" w:rsidRPr="00BC2CCA" w:rsidRDefault="00E269E8" w:rsidP="00E269E8">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Suspension ceases to have effect at the end of the period of suspension specified in the suspension order: it will cease before then if and when we: </w:t>
      </w:r>
    </w:p>
    <w:p w14:paraId="27D742E8" w14:textId="77777777" w:rsidR="00E269E8" w:rsidRPr="00BC2CCA" w:rsidRDefault="00E269E8" w:rsidP="00E269E8">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notify the person that we will not proceed with the proposal to disqualify</w:t>
      </w:r>
    </w:p>
    <w:p w14:paraId="082E8B9C" w14:textId="77777777" w:rsidR="00E269E8" w:rsidRPr="00BC2CCA" w:rsidRDefault="00E269E8" w:rsidP="00E269E8">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make the order to disqualify, and the order takes effect (that is, after a 42 time day period from when the order is made or after an appeal has been determined or withdrawn)</w:t>
      </w:r>
    </w:p>
    <w:p w14:paraId="7CAEA487" w14:textId="77777777" w:rsidR="00E269E8" w:rsidRPr="00BC2CCA" w:rsidRDefault="00E269E8" w:rsidP="00E269E8">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We must keep the order to suspend under regular review (which should be detailed in the covering letter) and if we decide it is appropriate to discharge the order in whole or in part then we must do so.</w:t>
      </w:r>
    </w:p>
    <w:p w14:paraId="52EACC79" w14:textId="77777777" w:rsidR="00E269E8" w:rsidRPr="00BC2CCA" w:rsidRDefault="00E269E8" w:rsidP="00E269E8">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While a suspension order is in place the person we have suspended must not take up any appointment as charity trustee or trustee for another charity without our written approval. We should aim to respond within 14 days of a request for approval being made. Our decision must be made on the facts of the case and whether these are </w:t>
      </w:r>
      <w:r w:rsidRPr="00BC2CCA">
        <w:rPr>
          <w:rFonts w:eastAsia="Times New Roman" w:cs="Arial"/>
          <w:color w:val="262626"/>
          <w:szCs w:val="24"/>
          <w:lang w:val="en" w:eastAsia="en-GB"/>
        </w:rPr>
        <w:lastRenderedPageBreak/>
        <w:t>sufficiently strong to satisfy us that, pending our decision on disqualification, it is unnecessary for the protection of charities generally or specific charities to continue with the suspension.</w:t>
      </w:r>
    </w:p>
    <w:p w14:paraId="14B31A7F" w14:textId="21BAE2C1" w:rsidR="00E269E8" w:rsidRPr="00BC2CCA" w:rsidRDefault="00E269E8" w:rsidP="00E269E8">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person we have suspended has a right of appeal to the Tribunal (</w:t>
      </w:r>
      <w:r w:rsidRPr="00BC2CCA">
        <w:rPr>
          <w:rFonts w:eastAsia="Times New Roman" w:cs="Arial"/>
          <w:color w:val="323298"/>
          <w:szCs w:val="24"/>
          <w:lang w:val="en" w:eastAsia="en-GB"/>
        </w:rPr>
        <w:t>see section 3.4</w:t>
      </w:r>
      <w:r w:rsidRPr="00BC2CCA">
        <w:rPr>
          <w:rFonts w:eastAsia="Times New Roman" w:cs="Arial"/>
          <w:color w:val="262626"/>
          <w:szCs w:val="24"/>
          <w:lang w:val="en" w:eastAsia="en-GB"/>
        </w:rPr>
        <w:t xml:space="preserve">). If they lodge an appeal within the 42 day </w:t>
      </w:r>
      <w:proofErr w:type="gramStart"/>
      <w:r w:rsidRPr="00BC2CCA">
        <w:rPr>
          <w:rFonts w:eastAsia="Times New Roman" w:cs="Arial"/>
          <w:color w:val="262626"/>
          <w:szCs w:val="24"/>
          <w:lang w:val="en" w:eastAsia="en-GB"/>
        </w:rPr>
        <w:t>limit</w:t>
      </w:r>
      <w:proofErr w:type="gramEnd"/>
      <w:r w:rsidRPr="00BC2CCA">
        <w:rPr>
          <w:rFonts w:eastAsia="Times New Roman" w:cs="Arial"/>
          <w:color w:val="262626"/>
          <w:szCs w:val="24"/>
          <w:lang w:val="en" w:eastAsia="en-GB"/>
        </w:rPr>
        <w:t xml:space="preserve"> we should take into account the reasons they have submitted in their appeal on the suspension order and consider whether it impacts on our proposal to disqualify.</w:t>
      </w:r>
    </w:p>
    <w:p w14:paraId="360C3A20"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Case officers should also consider the impact of any suspension of a person on the administration of a charity and whether any further provisions need to be made to facilitate its operation. There is power under 181B (9) to make provision under any suspension order for matters affected by that suspension which affect the charity, in particular: </w:t>
      </w:r>
    </w:p>
    <w:p w14:paraId="0E1EBC1D" w14:textId="77777777" w:rsidR="00E269E8" w:rsidRPr="00BC2CCA" w:rsidRDefault="00E269E8" w:rsidP="00E269E8">
      <w:pPr>
        <w:numPr>
          <w:ilvl w:val="0"/>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Commission can enable another person to execute documents in the suspended person’s name or otherwise act for that person</w:t>
      </w:r>
    </w:p>
    <w:p w14:paraId="4C2359E2" w14:textId="77777777" w:rsidR="00E269E8" w:rsidRPr="00BC2CCA" w:rsidRDefault="00E269E8" w:rsidP="00E269E8">
      <w:pPr>
        <w:numPr>
          <w:ilvl w:val="0"/>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in the case where the person suspended is a charity trustee, the Commission can adjust the rules governing the proceedings of charity trustees to take into account the reduction in the number of those capable of acting.</w:t>
      </w:r>
    </w:p>
    <w:p w14:paraId="4D98D8AF" w14:textId="3F41EB19" w:rsidR="000D4192" w:rsidRPr="000D4192" w:rsidRDefault="000D4192" w:rsidP="000D4192">
      <w:pPr>
        <w:pStyle w:val="Heading3"/>
        <w:rPr>
          <w:rFonts w:eastAsia="Times New Roman"/>
          <w:lang w:val="en" w:eastAsia="en-GB"/>
        </w:rPr>
      </w:pPr>
      <w:r w:rsidRPr="000D4192">
        <w:rPr>
          <w:rFonts w:eastAsia="Times New Roman"/>
          <w:lang w:val="en" w:eastAsia="en-GB"/>
        </w:rPr>
        <w:t>B</w:t>
      </w:r>
      <w:r w:rsidRPr="000D4192">
        <w:rPr>
          <w:rFonts w:eastAsia="Times New Roman"/>
          <w:lang w:val="en" w:eastAsia="en-GB"/>
        </w:rPr>
        <w:t>3.3 If no representations are received in response to a notice of intention to disqualify</w:t>
      </w:r>
    </w:p>
    <w:p w14:paraId="7BBD8A96"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r w:rsidRPr="000D4192">
        <w:rPr>
          <w:rFonts w:eastAsia="Times New Roman" w:cs="Arial"/>
          <w:color w:val="262626"/>
          <w:szCs w:val="24"/>
          <w:lang w:val="en" w:eastAsia="en-GB"/>
        </w:rPr>
        <w:t xml:space="preserve">You should record in a decision log that notice has been given, and we have not received any representations. You should then proceed to decide whether to make the disqualification Order.  </w:t>
      </w:r>
    </w:p>
    <w:p w14:paraId="317A949A"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p>
    <w:p w14:paraId="46A3B861"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r w:rsidRPr="000D4192">
        <w:rPr>
          <w:rFonts w:eastAsia="Times New Roman" w:cs="Arial"/>
          <w:color w:val="262626"/>
          <w:szCs w:val="24"/>
          <w:lang w:val="en" w:eastAsia="en-GB"/>
        </w:rPr>
        <w:t xml:space="preserve">Exempt text </w:t>
      </w:r>
    </w:p>
    <w:p w14:paraId="11E53250"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r w:rsidRPr="000D4192">
        <w:rPr>
          <w:rFonts w:eastAsia="Times New Roman" w:cs="Arial"/>
          <w:color w:val="262626"/>
          <w:szCs w:val="24"/>
          <w:lang w:val="en" w:eastAsia="en-GB"/>
        </w:rPr>
        <w:t>Please note that there are two decision log templates that you will need to complete if following the notice period, a Decision Review is not needed:</w:t>
      </w:r>
    </w:p>
    <w:p w14:paraId="20C7EF12"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r w:rsidRPr="000D4192">
        <w:rPr>
          <w:rFonts w:eastAsia="Times New Roman" w:cs="Arial"/>
          <w:color w:val="262626"/>
          <w:szCs w:val="24"/>
          <w:lang w:val="en" w:eastAsia="en-GB"/>
        </w:rPr>
        <w:t>1.</w:t>
      </w:r>
      <w:r w:rsidRPr="000D4192">
        <w:rPr>
          <w:rFonts w:eastAsia="Times New Roman" w:cs="Arial"/>
          <w:color w:val="262626"/>
          <w:szCs w:val="24"/>
          <w:lang w:val="en" w:eastAsia="en-GB"/>
        </w:rPr>
        <w:tab/>
        <w:t xml:space="preserve">decision log for disqualification under section 181A of the Charities Act which you complete at the point of deciding to issue the notice of intention, and </w:t>
      </w:r>
    </w:p>
    <w:p w14:paraId="312B4E5F"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r w:rsidRPr="000D4192">
        <w:rPr>
          <w:rFonts w:eastAsia="Times New Roman" w:cs="Arial"/>
          <w:color w:val="262626"/>
          <w:szCs w:val="24"/>
          <w:lang w:val="en" w:eastAsia="en-GB"/>
        </w:rPr>
        <w:t>2.</w:t>
      </w:r>
      <w:r w:rsidRPr="000D4192">
        <w:rPr>
          <w:rFonts w:eastAsia="Times New Roman" w:cs="Arial"/>
          <w:color w:val="262626"/>
          <w:szCs w:val="24"/>
          <w:lang w:val="en" w:eastAsia="en-GB"/>
        </w:rPr>
        <w:tab/>
        <w:t>a decision log for when no representations are received. You should use the generic decision log relevant to your department for this purpose.</w:t>
      </w:r>
    </w:p>
    <w:p w14:paraId="656A5B44"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r w:rsidRPr="000D4192">
        <w:rPr>
          <w:rFonts w:eastAsia="Times New Roman" w:cs="Arial"/>
          <w:color w:val="262626"/>
          <w:szCs w:val="24"/>
          <w:lang w:val="en" w:eastAsia="en-GB"/>
        </w:rPr>
        <w:t xml:space="preserve">End of exempt text </w:t>
      </w:r>
    </w:p>
    <w:p w14:paraId="3C3C27DB" w14:textId="77777777" w:rsidR="000D4192" w:rsidRPr="000D4192" w:rsidRDefault="000D4192" w:rsidP="000D4192">
      <w:pPr>
        <w:shd w:val="clear" w:color="auto" w:fill="FFFFFF"/>
        <w:spacing w:after="0" w:line="346" w:lineRule="atLeast"/>
        <w:rPr>
          <w:rFonts w:eastAsia="Times New Roman" w:cs="Arial"/>
          <w:color w:val="262626"/>
          <w:szCs w:val="24"/>
          <w:lang w:val="en" w:eastAsia="en-GB"/>
        </w:rPr>
      </w:pPr>
    </w:p>
    <w:p w14:paraId="033C1988" w14:textId="6AD1C277" w:rsidR="00E269E8" w:rsidRPr="00BC2CCA" w:rsidRDefault="000D4192" w:rsidP="000D4192">
      <w:pPr>
        <w:shd w:val="clear" w:color="auto" w:fill="FFFFFF"/>
        <w:spacing w:after="0" w:line="346" w:lineRule="atLeast"/>
        <w:rPr>
          <w:rFonts w:eastAsia="Times New Roman" w:cs="Arial"/>
          <w:color w:val="262626"/>
          <w:szCs w:val="24"/>
          <w:lang w:val="en" w:eastAsia="en-GB"/>
        </w:rPr>
      </w:pPr>
      <w:r w:rsidRPr="000D4192">
        <w:rPr>
          <w:rFonts w:eastAsia="Times New Roman" w:cs="Arial"/>
          <w:color w:val="262626"/>
          <w:szCs w:val="24"/>
          <w:lang w:val="en" w:eastAsia="en-GB"/>
        </w:rPr>
        <w:t xml:space="preserve">  </w:t>
      </w:r>
    </w:p>
    <w:p w14:paraId="33AC357F" w14:textId="111369E4" w:rsidR="00E269E8" w:rsidRPr="00BC2CCA" w:rsidRDefault="00E269E8" w:rsidP="00CD55E3">
      <w:pPr>
        <w:pStyle w:val="Heading3"/>
        <w:rPr>
          <w:rFonts w:eastAsia="Times New Roman"/>
          <w:lang w:val="en" w:eastAsia="en-GB"/>
        </w:rPr>
      </w:pPr>
      <w:bookmarkStart w:id="15" w:name="_Toc155680334"/>
      <w:r w:rsidRPr="00BC2CCA">
        <w:rPr>
          <w:rFonts w:eastAsia="Times New Roman"/>
          <w:lang w:val="en" w:eastAsia="en-GB"/>
        </w:rPr>
        <w:t>B3.</w:t>
      </w:r>
      <w:r w:rsidR="000D4192">
        <w:rPr>
          <w:rFonts w:eastAsia="Times New Roman"/>
          <w:lang w:val="en" w:eastAsia="en-GB"/>
        </w:rPr>
        <w:t>4</w:t>
      </w:r>
      <w:r w:rsidRPr="00BC2CCA">
        <w:rPr>
          <w:rFonts w:eastAsia="Times New Roman"/>
          <w:lang w:val="en" w:eastAsia="en-GB"/>
        </w:rPr>
        <w:t xml:space="preserve"> Considering representations in response to a notice of intention to disqualify</w:t>
      </w:r>
      <w:bookmarkEnd w:id="15"/>
      <w:r w:rsidRPr="00BC2CCA">
        <w:rPr>
          <w:rFonts w:eastAsia="Times New Roman"/>
          <w:lang w:val="en" w:eastAsia="en-GB"/>
        </w:rPr>
        <w:t xml:space="preserve"> </w:t>
      </w:r>
    </w:p>
    <w:p w14:paraId="708D20BA"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Representations from individuals are requested and will usually be made in writing although in appropriate circumstances it may be possible for them to be given orally </w:t>
      </w:r>
      <w:r w:rsidRPr="00BC2CCA">
        <w:rPr>
          <w:rFonts w:eastAsia="Times New Roman" w:cs="Arial"/>
          <w:color w:val="262626"/>
          <w:szCs w:val="24"/>
          <w:lang w:val="en" w:eastAsia="en-GB"/>
        </w:rPr>
        <w:lastRenderedPageBreak/>
        <w:t xml:space="preserve">if for some reason the individual in question is unable to make representations in writing (for example, a disability). </w:t>
      </w:r>
    </w:p>
    <w:p w14:paraId="712D7D5F"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Any representations we receive within the specified time limit must be considered before we decide whether to make the order to disqualify. </w:t>
      </w:r>
    </w:p>
    <w:p w14:paraId="792FA4D0"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We will normally consider any representations in line with the decision review process for representations made in response to a draft order as set out in </w:t>
      </w:r>
      <w:hyperlink r:id="rId14" w:tgtFrame="_blank" w:tooltip="OG 736-1 Decision Reviews" w:history="1">
        <w:r w:rsidRPr="00BC2CCA">
          <w:rPr>
            <w:rFonts w:eastAsia="Times New Roman" w:cs="Arial"/>
            <w:color w:val="323298"/>
            <w:szCs w:val="24"/>
            <w:lang w:val="en" w:eastAsia="en-GB"/>
          </w:rPr>
          <w:t>OG 736-1</w:t>
        </w:r>
      </w:hyperlink>
      <w:r w:rsidRPr="00BC2CCA">
        <w:rPr>
          <w:rFonts w:eastAsia="Times New Roman" w:cs="Arial"/>
          <w:color w:val="262626"/>
          <w:szCs w:val="24"/>
          <w:lang w:val="en" w:eastAsia="en-GB"/>
        </w:rPr>
        <w:t xml:space="preserve">. </w:t>
      </w:r>
    </w:p>
    <w:p w14:paraId="33D2B0C8"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If, following consideration of any representations, we decide to make the order we can proceed (either with or without such modifications as we think fit) without the need for further notice. </w:t>
      </w:r>
    </w:p>
    <w:p w14:paraId="34D4ADD1"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If, following consideration of any representations, we decide not to make the order, in addition to informing the individual that we are not proceeding to make the order we should also inform the other trustees. </w:t>
      </w:r>
    </w:p>
    <w:p w14:paraId="5E1CF780"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184FDBC5" w14:textId="070BB406" w:rsidR="00E269E8" w:rsidRPr="00BC2CCA" w:rsidRDefault="00E269E8" w:rsidP="00CD55E3">
      <w:pPr>
        <w:pStyle w:val="Heading3"/>
        <w:rPr>
          <w:rFonts w:eastAsia="Times New Roman"/>
          <w:lang w:val="en" w:eastAsia="en-GB"/>
        </w:rPr>
      </w:pPr>
      <w:bookmarkStart w:id="16" w:name="_Toc155680335"/>
      <w:r w:rsidRPr="00BC2CCA">
        <w:rPr>
          <w:rFonts w:eastAsia="Times New Roman"/>
          <w:lang w:val="en" w:eastAsia="en-GB"/>
        </w:rPr>
        <w:t>B3.</w:t>
      </w:r>
      <w:r w:rsidR="000D4192">
        <w:rPr>
          <w:rFonts w:eastAsia="Times New Roman"/>
          <w:lang w:val="en" w:eastAsia="en-GB"/>
        </w:rPr>
        <w:t>5</w:t>
      </w:r>
      <w:r w:rsidRPr="00BC2CCA">
        <w:rPr>
          <w:rFonts w:eastAsia="Times New Roman"/>
          <w:lang w:val="en" w:eastAsia="en-GB"/>
        </w:rPr>
        <w:t xml:space="preserve"> After we make the disqualification order</w:t>
      </w:r>
      <w:bookmarkEnd w:id="16"/>
      <w:r w:rsidRPr="00BC2CCA">
        <w:rPr>
          <w:rFonts w:eastAsia="Times New Roman"/>
          <w:lang w:val="en" w:eastAsia="en-GB"/>
        </w:rPr>
        <w:t xml:space="preserve"> </w:t>
      </w:r>
    </w:p>
    <w:p w14:paraId="4AAEC81E" w14:textId="77777777" w:rsidR="00E269E8" w:rsidRPr="00BC2CCA" w:rsidRDefault="00E269E8" w:rsidP="00E269E8">
      <w:pPr>
        <w:numPr>
          <w:ilvl w:val="0"/>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order should be sent to the individual and be accompanied by the final Statement of Reasons and a letter confirming the disqualification order has been made, explaining when it will take effect, and setting out the individual’s rights to appeal.</w:t>
      </w:r>
    </w:p>
    <w:p w14:paraId="2E3FFF8A" w14:textId="77777777" w:rsidR="00E269E8" w:rsidRPr="00BC2CCA" w:rsidRDefault="00E269E8" w:rsidP="00E269E8">
      <w:pPr>
        <w:numPr>
          <w:ilvl w:val="0"/>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If we know or believe that the person we are proposing to disqualify is a trustee then under section 181C (9) a copy of the order and the final Statement of Reasons (</w:t>
      </w:r>
      <w:proofErr w:type="spellStart"/>
      <w:r w:rsidRPr="00BC2CCA">
        <w:rPr>
          <w:rFonts w:eastAsia="Times New Roman" w:cs="Arial"/>
          <w:color w:val="262626"/>
          <w:szCs w:val="24"/>
          <w:lang w:val="en" w:eastAsia="en-GB"/>
        </w:rPr>
        <w:t>SoR</w:t>
      </w:r>
      <w:proofErr w:type="spellEnd"/>
      <w:r w:rsidRPr="00BC2CCA">
        <w:rPr>
          <w:rFonts w:eastAsia="Times New Roman" w:cs="Arial"/>
          <w:color w:val="262626"/>
          <w:szCs w:val="24"/>
          <w:lang w:val="en" w:eastAsia="en-GB"/>
        </w:rPr>
        <w:t>) for making the order must be sent to the charity (if a corporate body) or to each of the charity trustees.</w:t>
      </w:r>
    </w:p>
    <w:p w14:paraId="683B2666" w14:textId="7603F3D0" w:rsidR="00E269E8" w:rsidRPr="00BC2CCA" w:rsidRDefault="00CD55E3" w:rsidP="00E269E8">
      <w:pPr>
        <w:shd w:val="clear" w:color="auto" w:fill="FFFFFF"/>
        <w:spacing w:after="0" w:line="346" w:lineRule="atLeast"/>
        <w:rPr>
          <w:rFonts w:eastAsia="Times New Roman" w:cs="Arial"/>
          <w:color w:val="262626"/>
          <w:szCs w:val="24"/>
          <w:lang w:val="en" w:eastAsia="en-GB"/>
        </w:rPr>
      </w:pPr>
      <w:r>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E269E8" w:rsidRPr="00BC2CCA">
        <w:rPr>
          <w:rFonts w:eastAsia="Times New Roman" w:cs="Arial"/>
          <w:color w:val="262626"/>
          <w:szCs w:val="24"/>
          <w:lang w:val="en" w:eastAsia="en-GB"/>
        </w:rPr>
        <w:t xml:space="preserve">Legal advice must be taken where we have doubts as to whether, and to whom, the order or </w:t>
      </w:r>
      <w:proofErr w:type="spellStart"/>
      <w:r w:rsidR="00E269E8" w:rsidRPr="00BC2CCA">
        <w:rPr>
          <w:rFonts w:eastAsia="Times New Roman" w:cs="Arial"/>
          <w:color w:val="262626"/>
          <w:szCs w:val="24"/>
          <w:lang w:val="en" w:eastAsia="en-GB"/>
        </w:rPr>
        <w:t>SoR</w:t>
      </w:r>
      <w:proofErr w:type="spellEnd"/>
      <w:r w:rsidR="00E269E8" w:rsidRPr="00BC2CCA">
        <w:rPr>
          <w:rFonts w:eastAsia="Times New Roman" w:cs="Arial"/>
          <w:color w:val="262626"/>
          <w:szCs w:val="24"/>
          <w:lang w:val="en" w:eastAsia="en-GB"/>
        </w:rPr>
        <w:t xml:space="preserve"> should be sent. </w:t>
      </w:r>
    </w:p>
    <w:p w14:paraId="403D0C05"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0102E40D" w14:textId="77777777" w:rsidR="00E269E8" w:rsidRPr="00BC2CCA" w:rsidRDefault="00E269E8" w:rsidP="00E269E8">
      <w:pPr>
        <w:numPr>
          <w:ilvl w:val="0"/>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As a matter of policy the order should always be served in accordance with </w:t>
      </w:r>
      <w:hyperlink r:id="rId15" w:tgtFrame="_blank" w:tooltip="s.229 of Charities Act " w:history="1">
        <w:r w:rsidRPr="00BC2CCA">
          <w:rPr>
            <w:rFonts w:eastAsia="Times New Roman" w:cs="Arial"/>
            <w:color w:val="323298"/>
            <w:szCs w:val="24"/>
            <w:lang w:val="en" w:eastAsia="en-GB"/>
          </w:rPr>
          <w:t>section 339 of the Charities Act</w:t>
        </w:r>
      </w:hyperlink>
      <w:r w:rsidRPr="00BC2CCA">
        <w:rPr>
          <w:rFonts w:eastAsia="Times New Roman" w:cs="Arial"/>
          <w:color w:val="262626"/>
          <w:szCs w:val="24"/>
          <w:lang w:val="en" w:eastAsia="en-GB"/>
        </w:rPr>
        <w:t xml:space="preserve"> because of the criminal sanctions on acting as a trustee whilst disqualified under section 183 of the Act. This means that if the order is being served on a person (i.e. not a body corporate) it can be delivered to that person by post or hand delivered at that person’s last known address in the United Kingdom. Where an order is served on a body corporate, this can be done by delivering it by hand or sending it by post to the registered or principal office of the body in the United Kingdom or, if it has no such office in the United Kingdom, to any place in the United Kingdom where it carried on business or conducts activities (as the case may be).</w:t>
      </w:r>
    </w:p>
    <w:p w14:paraId="66F37E18" w14:textId="77777777" w:rsidR="00E269E8" w:rsidRPr="00BC2CCA" w:rsidRDefault="00E269E8" w:rsidP="00E269E8">
      <w:pPr>
        <w:numPr>
          <w:ilvl w:val="0"/>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An appeal can be made to the First-tier Tribunal (Charity): </w:t>
      </w:r>
    </w:p>
    <w:p w14:paraId="2639417A" w14:textId="77777777" w:rsidR="00E269E8" w:rsidRPr="00BC2CCA" w:rsidRDefault="00E269E8" w:rsidP="00E269E8">
      <w:pPr>
        <w:numPr>
          <w:ilvl w:val="1"/>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by the person being disqualified against: </w:t>
      </w:r>
    </w:p>
    <w:p w14:paraId="7D91B3B1" w14:textId="77777777" w:rsidR="00E269E8" w:rsidRPr="00BC2CCA" w:rsidRDefault="00E269E8" w:rsidP="00E269E8">
      <w:pPr>
        <w:numPr>
          <w:ilvl w:val="2"/>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order to suspend</w:t>
      </w:r>
    </w:p>
    <w:p w14:paraId="59A78D5A" w14:textId="77777777" w:rsidR="00E269E8" w:rsidRPr="00BC2CCA" w:rsidRDefault="00E269E8" w:rsidP="00E269E8">
      <w:pPr>
        <w:numPr>
          <w:ilvl w:val="2"/>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lastRenderedPageBreak/>
        <w:t>the order to disqualify</w:t>
      </w:r>
    </w:p>
    <w:p w14:paraId="0BE69FDF" w14:textId="77777777" w:rsidR="00E269E8" w:rsidRPr="00BC2CCA" w:rsidRDefault="00E269E8" w:rsidP="00E269E8">
      <w:pPr>
        <w:numPr>
          <w:ilvl w:val="2"/>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the decision not to revoke or vary an order to disqualify </w:t>
      </w:r>
    </w:p>
    <w:p w14:paraId="298FF040" w14:textId="77777777" w:rsidR="00E269E8" w:rsidRPr="00BC2CCA" w:rsidRDefault="00E269E8" w:rsidP="00E269E8">
      <w:pPr>
        <w:numPr>
          <w:ilvl w:val="1"/>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 xml:space="preserve">by the person being disqualified, the trustees of the charity (or the charity) to which the order relates, or any other person who is or who may be affected by the order, against a decision to: </w:t>
      </w:r>
    </w:p>
    <w:p w14:paraId="1200909C" w14:textId="77777777" w:rsidR="00E269E8" w:rsidRPr="00BC2CCA" w:rsidRDefault="00E269E8" w:rsidP="00E269E8">
      <w:pPr>
        <w:numPr>
          <w:ilvl w:val="2"/>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discharge, or not discharge, a suspension order following review under s.181B(7)</w:t>
      </w:r>
    </w:p>
    <w:p w14:paraId="3AB85D7B"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The disqualification order takes effect at the end of the 42 days, if no proceedings are started within that time, or (subject to the decision on appeal) when any proceedings started within the 42 days are withdrawn or finally determined. </w:t>
      </w:r>
    </w:p>
    <w:p w14:paraId="4DE702FC" w14:textId="19CB88E2" w:rsidR="00E269E8" w:rsidRPr="00BC2CCA" w:rsidRDefault="00CD55E3" w:rsidP="00E269E8">
      <w:pPr>
        <w:shd w:val="clear" w:color="auto" w:fill="FFFFFF"/>
        <w:spacing w:after="0" w:line="346" w:lineRule="atLeast"/>
        <w:rPr>
          <w:rFonts w:eastAsia="Times New Roman" w:cs="Arial"/>
          <w:color w:val="262626"/>
          <w:szCs w:val="24"/>
          <w:lang w:val="en" w:eastAsia="en-GB"/>
        </w:rPr>
      </w:pPr>
      <w:r w:rsidRPr="00CD55E3">
        <w:rPr>
          <w:rFonts w:eastAsia="Times New Roman" w:cs="Arial"/>
          <w:b/>
          <w:bCs/>
          <w:noProof/>
          <w:color w:val="262626"/>
          <w:szCs w:val="24"/>
          <w:lang w:val="en" w:eastAsia="en-GB"/>
        </w:rPr>
        <w:t>KEYPOINT:</w:t>
      </w:r>
      <w:r>
        <w:rPr>
          <w:rFonts w:eastAsia="Times New Roman" w:cs="Arial"/>
          <w:noProof/>
          <w:color w:val="262626"/>
          <w:szCs w:val="24"/>
          <w:lang w:val="en" w:eastAsia="en-GB"/>
        </w:rPr>
        <w:t xml:space="preserve"> </w:t>
      </w:r>
      <w:r w:rsidR="00E269E8" w:rsidRPr="00BC2CCA">
        <w:rPr>
          <w:rFonts w:eastAsia="Times New Roman" w:cs="Arial"/>
          <w:color w:val="262626"/>
          <w:szCs w:val="24"/>
          <w:lang w:val="en" w:eastAsia="en-GB"/>
        </w:rPr>
        <w:t xml:space="preserve">The disqualification order does not have the effect of removing the disqualified individual from any trustee positions they may hold. Once the order has come into effect, the caseworker should check to ensure that we have received confirmation that the individual has resigned or been removed by the other trustees in accordance with the provisions of the charity's governing document (if they have power to do so). If not, we may need to make an order under s79A to remove the individual from any trustee positions they hold. </w:t>
      </w:r>
    </w:p>
    <w:p w14:paraId="326A6C71"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37CEFE4C" w14:textId="6D67D61D" w:rsidR="00E269E8" w:rsidRPr="00BC2CCA" w:rsidRDefault="00E269E8" w:rsidP="00CD55E3">
      <w:pPr>
        <w:pStyle w:val="Heading3"/>
        <w:rPr>
          <w:rFonts w:eastAsia="Times New Roman"/>
          <w:lang w:val="en" w:eastAsia="en-GB"/>
        </w:rPr>
      </w:pPr>
      <w:bookmarkStart w:id="17" w:name="_Toc155680336"/>
      <w:r w:rsidRPr="00BC2CCA">
        <w:rPr>
          <w:rFonts w:eastAsia="Times New Roman"/>
          <w:lang w:val="en" w:eastAsia="en-GB"/>
        </w:rPr>
        <w:t>B3.</w:t>
      </w:r>
      <w:r w:rsidR="000D4192">
        <w:rPr>
          <w:rFonts w:eastAsia="Times New Roman"/>
          <w:lang w:val="en" w:eastAsia="en-GB"/>
        </w:rPr>
        <w:t>6</w:t>
      </w:r>
      <w:r w:rsidRPr="00BC2CCA">
        <w:rPr>
          <w:rFonts w:eastAsia="Times New Roman"/>
          <w:lang w:val="en" w:eastAsia="en-GB"/>
        </w:rPr>
        <w:t xml:space="preserve"> Variation or discharge of the disqualification order</w:t>
      </w:r>
      <w:bookmarkEnd w:id="17"/>
      <w:r w:rsidRPr="00BC2CCA">
        <w:rPr>
          <w:rFonts w:eastAsia="Times New Roman"/>
          <w:lang w:val="en" w:eastAsia="en-GB"/>
        </w:rPr>
        <w:t xml:space="preserve"> </w:t>
      </w:r>
    </w:p>
    <w:p w14:paraId="1AFE7BE2"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A person who has been disqualified under s.181A and in respect of whom an order is in force, can apply at any time for the order to be discharged or varied under section 181D. </w:t>
      </w:r>
    </w:p>
    <w:p w14:paraId="2FE35183"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Our policy approach is that we will only make a discharging or varying order if there has been a </w:t>
      </w:r>
      <w:r w:rsidRPr="00BC2CCA">
        <w:rPr>
          <w:rFonts w:eastAsia="Times New Roman" w:cs="Arial"/>
          <w:b/>
          <w:bCs/>
          <w:color w:val="262626"/>
          <w:szCs w:val="24"/>
          <w:lang w:val="en" w:eastAsia="en-GB"/>
        </w:rPr>
        <w:t>material</w:t>
      </w:r>
      <w:r w:rsidRPr="00BC2CCA">
        <w:rPr>
          <w:rFonts w:eastAsia="Times New Roman" w:cs="Arial"/>
          <w:color w:val="262626"/>
          <w:szCs w:val="24"/>
          <w:lang w:val="en" w:eastAsia="en-GB"/>
        </w:rPr>
        <w:t xml:space="preserve"> change in the circumstances which means that the grounds for originally making the order </w:t>
      </w:r>
      <w:r w:rsidRPr="00BC2CCA">
        <w:rPr>
          <w:rFonts w:eastAsia="Times New Roman" w:cs="Arial"/>
          <w:b/>
          <w:bCs/>
          <w:color w:val="262626"/>
          <w:szCs w:val="24"/>
          <w:lang w:val="en" w:eastAsia="en-GB"/>
        </w:rPr>
        <w:t>are</w:t>
      </w:r>
      <w:r w:rsidRPr="00BC2CCA">
        <w:rPr>
          <w:rFonts w:eastAsia="Times New Roman" w:cs="Arial"/>
          <w:color w:val="262626"/>
          <w:szCs w:val="24"/>
          <w:lang w:val="en" w:eastAsia="en-GB"/>
        </w:rPr>
        <w:t xml:space="preserve"> likely to no longer be made out if the order was being made today. Practically speaking, it is likely that the person will state that tests 2 (unfitness) and 3 (public interest) could no longer be made out.  </w:t>
      </w:r>
    </w:p>
    <w:p w14:paraId="3EBAE236"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2285005E" w14:textId="39790B89" w:rsidR="00E269E8" w:rsidRPr="00BC2CCA" w:rsidRDefault="00E269E8" w:rsidP="00CD55E3">
      <w:pPr>
        <w:pStyle w:val="Heading3"/>
        <w:rPr>
          <w:rFonts w:eastAsia="Times New Roman"/>
          <w:lang w:val="en" w:eastAsia="en-GB"/>
        </w:rPr>
      </w:pPr>
      <w:bookmarkStart w:id="18" w:name="_Toc155680337"/>
      <w:r w:rsidRPr="00BC2CCA">
        <w:rPr>
          <w:rFonts w:eastAsia="Times New Roman"/>
          <w:lang w:val="en" w:eastAsia="en-GB"/>
        </w:rPr>
        <w:t>B3.</w:t>
      </w:r>
      <w:r w:rsidR="000D4192">
        <w:rPr>
          <w:rFonts w:eastAsia="Times New Roman"/>
          <w:lang w:val="en" w:eastAsia="en-GB"/>
        </w:rPr>
        <w:t>7</w:t>
      </w:r>
      <w:r w:rsidRPr="00BC2CCA">
        <w:rPr>
          <w:rFonts w:eastAsia="Times New Roman"/>
          <w:lang w:val="en" w:eastAsia="en-GB"/>
        </w:rPr>
        <w:t xml:space="preserve"> Register of removed persons</w:t>
      </w:r>
      <w:bookmarkEnd w:id="18"/>
      <w:r w:rsidRPr="00BC2CCA">
        <w:rPr>
          <w:rFonts w:eastAsia="Times New Roman"/>
          <w:lang w:val="en" w:eastAsia="en-GB"/>
        </w:rPr>
        <w:t xml:space="preserve"> </w:t>
      </w:r>
    </w:p>
    <w:p w14:paraId="636BEC50"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Under s182 (1) of the 2011 Act we have a statutory duty to keep a register of all persons removed from the office of charity trustee or trustee for a charity. This includes people: </w:t>
      </w:r>
    </w:p>
    <w:p w14:paraId="3E55B4EB" w14:textId="77777777" w:rsidR="00E269E8" w:rsidRPr="00BC2CCA" w:rsidRDefault="00E269E8" w:rsidP="00E269E8">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removed by an order under section 79 and</w:t>
      </w:r>
    </w:p>
    <w:p w14:paraId="790A7EDF" w14:textId="77777777" w:rsidR="00E269E8" w:rsidRPr="00BC2CCA" w:rsidRDefault="00E269E8" w:rsidP="00E269E8">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people who have been disqualified by an order under s.181A of the 2011 Act, .or</w:t>
      </w:r>
    </w:p>
    <w:p w14:paraId="22B2399C" w14:textId="77777777" w:rsidR="00E269E8" w:rsidRPr="00BC2CCA" w:rsidRDefault="00E269E8" w:rsidP="00E269E8">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BC2CCA">
        <w:rPr>
          <w:rFonts w:eastAsia="Times New Roman" w:cs="Arial"/>
          <w:color w:val="262626"/>
          <w:szCs w:val="24"/>
          <w:lang w:val="en" w:eastAsia="en-GB"/>
        </w:rPr>
        <w:t>removed by an order of the High Court since 1 January 1993.</w:t>
      </w:r>
    </w:p>
    <w:p w14:paraId="2A58CE3F"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This register must be available for public inspection in legible form at all reasonable times (s182). </w:t>
      </w:r>
    </w:p>
    <w:p w14:paraId="763805CF" w14:textId="680FDF20" w:rsidR="00E269E8" w:rsidRPr="00BC2CCA" w:rsidRDefault="00E269E8" w:rsidP="008E215B">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lastRenderedPageBreak/>
        <w:t xml:space="preserve">This register is maintained by the Intelligence team in Investigations and Enforcement and is </w:t>
      </w:r>
      <w:hyperlink r:id="rId16" w:tgtFrame="_blank" w:tooltip="Register of removed trustees" w:history="1">
        <w:r w:rsidRPr="00BC2CCA">
          <w:rPr>
            <w:rFonts w:eastAsia="Times New Roman" w:cs="Arial"/>
            <w:color w:val="323298"/>
            <w:szCs w:val="24"/>
            <w:lang w:val="en" w:eastAsia="en-GB"/>
          </w:rPr>
          <w:t>searchable on our website</w:t>
        </w:r>
      </w:hyperlink>
      <w:r w:rsidRPr="00BC2CCA">
        <w:rPr>
          <w:rFonts w:eastAsia="Times New Roman" w:cs="Arial"/>
          <w:color w:val="262626"/>
          <w:szCs w:val="24"/>
          <w:lang w:val="en" w:eastAsia="en-GB"/>
        </w:rPr>
        <w:t xml:space="preserve">. If a member of staff comes across a case where someone has been disqualified by us from being a trustee whose name is not on the register, this information should be passed to the Intelligence team to rectify the position. </w:t>
      </w:r>
    </w:p>
    <w:p w14:paraId="5E43DAE5"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6C317767"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  </w:t>
      </w:r>
    </w:p>
    <w:p w14:paraId="40BEA00E" w14:textId="18F91EB5" w:rsidR="00E269E8" w:rsidRPr="00BC2CCA" w:rsidRDefault="00E269E8" w:rsidP="00CD55E3">
      <w:pPr>
        <w:pStyle w:val="Heading3"/>
        <w:rPr>
          <w:rFonts w:eastAsia="Times New Roman"/>
          <w:lang w:val="en" w:eastAsia="en-GB"/>
        </w:rPr>
      </w:pPr>
      <w:bookmarkStart w:id="19" w:name="_Toc155680338"/>
      <w:r w:rsidRPr="00BC2CCA">
        <w:rPr>
          <w:rFonts w:eastAsia="Times New Roman"/>
          <w:lang w:val="en" w:eastAsia="en-GB"/>
        </w:rPr>
        <w:t>B3.</w:t>
      </w:r>
      <w:r w:rsidR="000D4192">
        <w:rPr>
          <w:rFonts w:eastAsia="Times New Roman"/>
          <w:lang w:val="en" w:eastAsia="en-GB"/>
        </w:rPr>
        <w:t>8</w:t>
      </w:r>
      <w:r w:rsidRPr="00BC2CCA">
        <w:rPr>
          <w:rFonts w:eastAsia="Times New Roman"/>
          <w:lang w:val="en" w:eastAsia="en-GB"/>
        </w:rPr>
        <w:t xml:space="preserve"> Consequences of acting while disqualified</w:t>
      </w:r>
      <w:bookmarkEnd w:id="19"/>
      <w:r w:rsidRPr="00BC2CCA">
        <w:rPr>
          <w:rFonts w:eastAsia="Times New Roman"/>
          <w:lang w:val="en" w:eastAsia="en-GB"/>
        </w:rPr>
        <w:t xml:space="preserve"> </w:t>
      </w:r>
    </w:p>
    <w:p w14:paraId="6C0F19D1"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b/>
          <w:bCs/>
          <w:color w:val="262626"/>
          <w:szCs w:val="24"/>
          <w:lang w:val="en" w:eastAsia="en-GB"/>
        </w:rPr>
        <w:t>Criminal consequences</w:t>
      </w:r>
      <w:r w:rsidRPr="00BC2CCA">
        <w:rPr>
          <w:rFonts w:eastAsia="Times New Roman" w:cs="Arial"/>
          <w:color w:val="262626"/>
          <w:szCs w:val="24"/>
          <w:lang w:val="en" w:eastAsia="en-GB"/>
        </w:rPr>
        <w:t xml:space="preserve"> </w:t>
      </w:r>
    </w:p>
    <w:p w14:paraId="1A5E53E0"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Section 183(1) of the Charities Act 2011 provides that It is a criminal offence for any person to act as a charity trustee or trustee for a charity while disqualified from being a trustee by virtue of section 181A of the 2011 Act. However s.183(1) does not apply if the charity concerned is a company or a CIO or if the disqualified person is disqualified by virtue only of case B, F or G in s.178 </w:t>
      </w:r>
    </w:p>
    <w:p w14:paraId="2FC4700C"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b/>
          <w:bCs/>
          <w:color w:val="262626"/>
          <w:szCs w:val="24"/>
          <w:lang w:val="en" w:eastAsia="en-GB"/>
        </w:rPr>
        <w:t>Civil consequences</w:t>
      </w:r>
      <w:r w:rsidRPr="00BC2CCA">
        <w:rPr>
          <w:rFonts w:eastAsia="Times New Roman" w:cs="Arial"/>
          <w:color w:val="262626"/>
          <w:szCs w:val="24"/>
          <w:lang w:val="en" w:eastAsia="en-GB"/>
        </w:rPr>
        <w:t xml:space="preserve"> </w:t>
      </w:r>
    </w:p>
    <w:p w14:paraId="1E0B54A1"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Section 184(1) of the Charities Act 2011 provides that any acts done as a charity trustee or trustee for a charity by a person disqualified from being such a trustee by virtue of section 178 or an order under section 181A are not invalid merely because of that disqualification. </w:t>
      </w:r>
    </w:p>
    <w:p w14:paraId="33BA56EB" w14:textId="77777777" w:rsidR="00E269E8" w:rsidRPr="00BC2CCA" w:rsidRDefault="00E269E8" w:rsidP="00E269E8">
      <w:pPr>
        <w:shd w:val="clear" w:color="auto" w:fill="FFFFFF"/>
        <w:spacing w:after="0" w:line="346" w:lineRule="atLeast"/>
        <w:rPr>
          <w:rFonts w:eastAsia="Times New Roman" w:cs="Arial"/>
          <w:color w:val="262626"/>
          <w:szCs w:val="24"/>
          <w:lang w:val="en" w:eastAsia="en-GB"/>
        </w:rPr>
      </w:pPr>
      <w:r w:rsidRPr="00BC2CCA">
        <w:rPr>
          <w:rFonts w:eastAsia="Times New Roman" w:cs="Arial"/>
          <w:color w:val="262626"/>
          <w:szCs w:val="24"/>
          <w:lang w:val="en" w:eastAsia="en-GB"/>
        </w:rPr>
        <w:t xml:space="preserve">If we are satisfied that any person has acted as a charity trustee whilst disqualified by s.178 or s.181A has received any remuneration, expenses or benefits in kind in connection with acting as a charity trustee we can direct by order that the person repay to the charity the whole or part of any remuneration or expenses or the whole or part of the monetary value (as determined by the Commission) of any benefit in kind. </w:t>
      </w:r>
    </w:p>
    <w:p w14:paraId="0265692E" w14:textId="77777777" w:rsidR="00233CF3" w:rsidRPr="00BC2CCA" w:rsidRDefault="00233CF3" w:rsidP="00E269E8">
      <w:pPr>
        <w:rPr>
          <w:szCs w:val="24"/>
        </w:rPr>
      </w:pPr>
    </w:p>
    <w:sectPr w:rsidR="00233CF3" w:rsidRPr="00BC2CCA" w:rsidSect="00EE2111">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2C233" w14:textId="77777777" w:rsidR="009472DB" w:rsidRDefault="009472DB" w:rsidP="00FC6FC1">
      <w:pPr>
        <w:spacing w:after="0" w:line="240" w:lineRule="auto"/>
      </w:pPr>
      <w:r>
        <w:separator/>
      </w:r>
    </w:p>
  </w:endnote>
  <w:endnote w:type="continuationSeparator" w:id="0">
    <w:p w14:paraId="6A7AAF01" w14:textId="77777777" w:rsidR="009472DB" w:rsidRDefault="009472DB" w:rsidP="00FC6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173230"/>
      <w:docPartObj>
        <w:docPartGallery w:val="Page Numbers (Bottom of Page)"/>
        <w:docPartUnique/>
      </w:docPartObj>
    </w:sdtPr>
    <w:sdtEndPr>
      <w:rPr>
        <w:noProof/>
      </w:rPr>
    </w:sdtEndPr>
    <w:sdtContent>
      <w:p w14:paraId="28F8C6EC" w14:textId="02E58CC7" w:rsidR="00FC6FC1" w:rsidRDefault="00FC6FC1">
        <w:pPr>
          <w:pStyle w:val="Footer"/>
        </w:pPr>
        <w:r>
          <w:fldChar w:fldCharType="begin"/>
        </w:r>
        <w:r>
          <w:instrText xml:space="preserve"> PAGE   \* MERGEFORMAT </w:instrText>
        </w:r>
        <w:r>
          <w:fldChar w:fldCharType="separate"/>
        </w:r>
        <w:r>
          <w:rPr>
            <w:noProof/>
          </w:rPr>
          <w:t>2</w:t>
        </w:r>
        <w:r>
          <w:rPr>
            <w:noProof/>
          </w:rPr>
          <w:fldChar w:fldCharType="end"/>
        </w:r>
      </w:p>
    </w:sdtContent>
  </w:sdt>
  <w:p w14:paraId="7E2AC15E" w14:textId="77777777" w:rsidR="00FC6FC1" w:rsidRDefault="00FC6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4B35B" w14:textId="77777777" w:rsidR="009472DB" w:rsidRDefault="009472DB" w:rsidP="00FC6FC1">
      <w:pPr>
        <w:spacing w:after="0" w:line="240" w:lineRule="auto"/>
      </w:pPr>
      <w:r>
        <w:separator/>
      </w:r>
    </w:p>
  </w:footnote>
  <w:footnote w:type="continuationSeparator" w:id="0">
    <w:p w14:paraId="2C3EA766" w14:textId="77777777" w:rsidR="009472DB" w:rsidRDefault="009472DB" w:rsidP="00FC6F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300"/>
    <w:multiLevelType w:val="multilevel"/>
    <w:tmpl w:val="6BE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D5374"/>
    <w:multiLevelType w:val="multilevel"/>
    <w:tmpl w:val="B526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26634"/>
    <w:multiLevelType w:val="multilevel"/>
    <w:tmpl w:val="287A2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D2191"/>
    <w:multiLevelType w:val="multilevel"/>
    <w:tmpl w:val="FF1C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F3236"/>
    <w:multiLevelType w:val="multilevel"/>
    <w:tmpl w:val="E378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111A5"/>
    <w:multiLevelType w:val="multilevel"/>
    <w:tmpl w:val="0FE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00D46"/>
    <w:multiLevelType w:val="multilevel"/>
    <w:tmpl w:val="C5E42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A38EB"/>
    <w:multiLevelType w:val="multilevel"/>
    <w:tmpl w:val="A606C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808FE"/>
    <w:multiLevelType w:val="multilevel"/>
    <w:tmpl w:val="30A8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B43A3C"/>
    <w:multiLevelType w:val="multilevel"/>
    <w:tmpl w:val="AC28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A1EA3"/>
    <w:multiLevelType w:val="multilevel"/>
    <w:tmpl w:val="14D8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442F5"/>
    <w:multiLevelType w:val="multilevel"/>
    <w:tmpl w:val="FBC2D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80681B"/>
    <w:multiLevelType w:val="multilevel"/>
    <w:tmpl w:val="41FC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792295"/>
    <w:multiLevelType w:val="multilevel"/>
    <w:tmpl w:val="7182047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0527A7"/>
    <w:multiLevelType w:val="multilevel"/>
    <w:tmpl w:val="B234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E4C61"/>
    <w:multiLevelType w:val="multilevel"/>
    <w:tmpl w:val="AE64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75E3D"/>
    <w:multiLevelType w:val="multilevel"/>
    <w:tmpl w:val="3F74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E5E77"/>
    <w:multiLevelType w:val="multilevel"/>
    <w:tmpl w:val="6654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8C6F8A"/>
    <w:multiLevelType w:val="multilevel"/>
    <w:tmpl w:val="A0F6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8D3EB0"/>
    <w:multiLevelType w:val="multilevel"/>
    <w:tmpl w:val="6C6C0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5945FD"/>
    <w:multiLevelType w:val="multilevel"/>
    <w:tmpl w:val="596AB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747076">
    <w:abstractNumId w:val="19"/>
  </w:num>
  <w:num w:numId="2" w16cid:durableId="1732732503">
    <w:abstractNumId w:val="20"/>
  </w:num>
  <w:num w:numId="3" w16cid:durableId="2139832214">
    <w:abstractNumId w:val="3"/>
  </w:num>
  <w:num w:numId="4" w16cid:durableId="905841494">
    <w:abstractNumId w:val="5"/>
  </w:num>
  <w:num w:numId="5" w16cid:durableId="1427728434">
    <w:abstractNumId w:val="4"/>
  </w:num>
  <w:num w:numId="6" w16cid:durableId="15816557">
    <w:abstractNumId w:val="6"/>
  </w:num>
  <w:num w:numId="7" w16cid:durableId="1889492492">
    <w:abstractNumId w:val="17"/>
  </w:num>
  <w:num w:numId="8" w16cid:durableId="1844320469">
    <w:abstractNumId w:val="16"/>
  </w:num>
  <w:num w:numId="9" w16cid:durableId="118106231">
    <w:abstractNumId w:val="15"/>
  </w:num>
  <w:num w:numId="10" w16cid:durableId="1870876401">
    <w:abstractNumId w:val="9"/>
  </w:num>
  <w:num w:numId="11" w16cid:durableId="1712487383">
    <w:abstractNumId w:val="2"/>
  </w:num>
  <w:num w:numId="12" w16cid:durableId="1550411130">
    <w:abstractNumId w:val="1"/>
  </w:num>
  <w:num w:numId="13" w16cid:durableId="647977309">
    <w:abstractNumId w:val="0"/>
  </w:num>
  <w:num w:numId="14" w16cid:durableId="961498094">
    <w:abstractNumId w:val="11"/>
  </w:num>
  <w:num w:numId="15" w16cid:durableId="821769982">
    <w:abstractNumId w:val="14"/>
  </w:num>
  <w:num w:numId="16" w16cid:durableId="1847397819">
    <w:abstractNumId w:val="8"/>
  </w:num>
  <w:num w:numId="17" w16cid:durableId="1852722259">
    <w:abstractNumId w:val="7"/>
  </w:num>
  <w:num w:numId="18" w16cid:durableId="1798907696">
    <w:abstractNumId w:val="18"/>
  </w:num>
  <w:num w:numId="19" w16cid:durableId="1425607193">
    <w:abstractNumId w:val="10"/>
  </w:num>
  <w:num w:numId="20" w16cid:durableId="689912351">
    <w:abstractNumId w:val="12"/>
  </w:num>
  <w:num w:numId="21" w16cid:durableId="208745306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F6B"/>
    <w:rsid w:val="0009783B"/>
    <w:rsid w:val="000D4192"/>
    <w:rsid w:val="000E46FC"/>
    <w:rsid w:val="00233CF3"/>
    <w:rsid w:val="002E0D2F"/>
    <w:rsid w:val="003A345E"/>
    <w:rsid w:val="0040294D"/>
    <w:rsid w:val="00410E6E"/>
    <w:rsid w:val="0079060B"/>
    <w:rsid w:val="008733EA"/>
    <w:rsid w:val="008E215B"/>
    <w:rsid w:val="00946162"/>
    <w:rsid w:val="009472DB"/>
    <w:rsid w:val="009A1F6B"/>
    <w:rsid w:val="00A3537E"/>
    <w:rsid w:val="00B92450"/>
    <w:rsid w:val="00BC2CCA"/>
    <w:rsid w:val="00C36008"/>
    <w:rsid w:val="00CD55E3"/>
    <w:rsid w:val="00D44BC8"/>
    <w:rsid w:val="00E269E8"/>
    <w:rsid w:val="00EE2111"/>
    <w:rsid w:val="00F8659C"/>
    <w:rsid w:val="00FB15CD"/>
    <w:rsid w:val="00FC6FC1"/>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80FC"/>
  <w15:chartTrackingRefBased/>
  <w15:docId w15:val="{A4A88475-2210-47A4-AEAB-DC0EC109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D55E3"/>
    <w:pPr>
      <w:spacing w:before="100" w:beforeAutospacing="1" w:after="100" w:afterAutospacing="1" w:line="240" w:lineRule="auto"/>
      <w:outlineLvl w:val="0"/>
    </w:pPr>
    <w:rPr>
      <w:rFonts w:eastAsia="Times New Roman" w:cs="Times New Roman"/>
      <w:b/>
      <w:bCs/>
      <w:kern w:val="36"/>
      <w:sz w:val="36"/>
      <w:szCs w:val="48"/>
      <w:lang w:eastAsia="en-GB"/>
    </w:rPr>
  </w:style>
  <w:style w:type="paragraph" w:styleId="Heading2">
    <w:name w:val="heading 2"/>
    <w:basedOn w:val="Normal"/>
    <w:link w:val="Heading2Char"/>
    <w:uiPriority w:val="9"/>
    <w:qFormat/>
    <w:rsid w:val="00CD55E3"/>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CD55E3"/>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5E3"/>
    <w:rPr>
      <w:rFonts w:eastAsia="Times New Roman" w:cs="Times New Roman"/>
      <w:b/>
      <w:bCs/>
      <w:kern w:val="36"/>
      <w:sz w:val="36"/>
      <w:szCs w:val="48"/>
      <w:lang w:eastAsia="en-GB"/>
    </w:rPr>
  </w:style>
  <w:style w:type="character" w:customStyle="1" w:styleId="Heading2Char">
    <w:name w:val="Heading 2 Char"/>
    <w:basedOn w:val="DefaultParagraphFont"/>
    <w:link w:val="Heading2"/>
    <w:uiPriority w:val="9"/>
    <w:rsid w:val="00CD55E3"/>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9A1F6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1F6B"/>
    <w:rPr>
      <w:b/>
      <w:bCs/>
    </w:rPr>
  </w:style>
  <w:style w:type="character" w:styleId="Hyperlink">
    <w:name w:val="Hyperlink"/>
    <w:basedOn w:val="DefaultParagraphFont"/>
    <w:uiPriority w:val="99"/>
    <w:unhideWhenUsed/>
    <w:rsid w:val="009A1F6B"/>
    <w:rPr>
      <w:color w:val="0000FF"/>
      <w:u w:val="single"/>
    </w:rPr>
  </w:style>
  <w:style w:type="paragraph" w:customStyle="1" w:styleId="first">
    <w:name w:val="first"/>
    <w:basedOn w:val="Normal"/>
    <w:rsid w:val="009A1F6B"/>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A1F6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9A1F6B"/>
    <w:rPr>
      <w:i/>
      <w:iCs/>
    </w:rPr>
  </w:style>
  <w:style w:type="character" w:customStyle="1" w:styleId="Heading3Char">
    <w:name w:val="Heading 3 Char"/>
    <w:basedOn w:val="DefaultParagraphFont"/>
    <w:link w:val="Heading3"/>
    <w:uiPriority w:val="9"/>
    <w:rsid w:val="00CD55E3"/>
    <w:rPr>
      <w:rFonts w:eastAsiaTheme="majorEastAsia" w:cstheme="majorBidi"/>
      <w:b/>
      <w:color w:val="000000" w:themeColor="text1"/>
      <w:sz w:val="28"/>
      <w:szCs w:val="24"/>
    </w:rPr>
  </w:style>
  <w:style w:type="paragraph" w:styleId="Header">
    <w:name w:val="header"/>
    <w:basedOn w:val="Normal"/>
    <w:link w:val="HeaderChar"/>
    <w:uiPriority w:val="99"/>
    <w:unhideWhenUsed/>
    <w:rsid w:val="00FC6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FC1"/>
  </w:style>
  <w:style w:type="paragraph" w:styleId="Footer">
    <w:name w:val="footer"/>
    <w:basedOn w:val="Normal"/>
    <w:link w:val="FooterChar"/>
    <w:uiPriority w:val="99"/>
    <w:unhideWhenUsed/>
    <w:rsid w:val="00FC6F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FC1"/>
  </w:style>
  <w:style w:type="paragraph" w:styleId="TOCHeading">
    <w:name w:val="TOC Heading"/>
    <w:basedOn w:val="Heading1"/>
    <w:next w:val="Normal"/>
    <w:uiPriority w:val="39"/>
    <w:unhideWhenUsed/>
    <w:qFormat/>
    <w:rsid w:val="00FC6FC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FC6FC1"/>
    <w:pPr>
      <w:spacing w:after="100"/>
    </w:pPr>
  </w:style>
  <w:style w:type="paragraph" w:styleId="TOC2">
    <w:name w:val="toc 2"/>
    <w:basedOn w:val="Normal"/>
    <w:next w:val="Normal"/>
    <w:autoRedefine/>
    <w:uiPriority w:val="39"/>
    <w:unhideWhenUsed/>
    <w:rsid w:val="00FC6FC1"/>
    <w:pPr>
      <w:spacing w:after="100"/>
      <w:ind w:left="240"/>
    </w:pPr>
  </w:style>
  <w:style w:type="paragraph" w:styleId="TOC3">
    <w:name w:val="toc 3"/>
    <w:basedOn w:val="Normal"/>
    <w:next w:val="Normal"/>
    <w:autoRedefine/>
    <w:uiPriority w:val="39"/>
    <w:unhideWhenUsed/>
    <w:rsid w:val="00FC6FC1"/>
    <w:pPr>
      <w:spacing w:after="100"/>
      <w:ind w:left="480"/>
    </w:pPr>
  </w:style>
  <w:style w:type="paragraph" w:styleId="NoSpacing">
    <w:name w:val="No Spacing"/>
    <w:link w:val="NoSpacingChar"/>
    <w:uiPriority w:val="1"/>
    <w:qFormat/>
    <w:rsid w:val="00EE2111"/>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EE2111"/>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41470">
      <w:bodyDiv w:val="1"/>
      <w:marLeft w:val="0"/>
      <w:marRight w:val="0"/>
      <w:marTop w:val="0"/>
      <w:marBottom w:val="0"/>
      <w:divBdr>
        <w:top w:val="none" w:sz="0" w:space="0" w:color="auto"/>
        <w:left w:val="none" w:sz="0" w:space="0" w:color="auto"/>
        <w:bottom w:val="none" w:sz="0" w:space="0" w:color="auto"/>
        <w:right w:val="none" w:sz="0" w:space="0" w:color="auto"/>
      </w:divBdr>
    </w:div>
    <w:div w:id="450055735">
      <w:bodyDiv w:val="1"/>
      <w:marLeft w:val="0"/>
      <w:marRight w:val="0"/>
      <w:marTop w:val="0"/>
      <w:marBottom w:val="0"/>
      <w:divBdr>
        <w:top w:val="none" w:sz="0" w:space="0" w:color="auto"/>
        <w:left w:val="none" w:sz="0" w:space="0" w:color="auto"/>
        <w:bottom w:val="none" w:sz="0" w:space="0" w:color="auto"/>
        <w:right w:val="none" w:sz="0" w:space="0" w:color="auto"/>
      </w:divBdr>
      <w:divsChild>
        <w:div w:id="1625883615">
          <w:marLeft w:val="0"/>
          <w:marRight w:val="0"/>
          <w:marTop w:val="30"/>
          <w:marBottom w:val="0"/>
          <w:divBdr>
            <w:top w:val="none" w:sz="0" w:space="0" w:color="auto"/>
            <w:left w:val="none" w:sz="0" w:space="0" w:color="auto"/>
            <w:bottom w:val="none" w:sz="0" w:space="0" w:color="auto"/>
            <w:right w:val="none" w:sz="0" w:space="0" w:color="auto"/>
          </w:divBdr>
          <w:divsChild>
            <w:div w:id="115372002">
              <w:marLeft w:val="0"/>
              <w:marRight w:val="0"/>
              <w:marTop w:val="0"/>
              <w:marBottom w:val="0"/>
              <w:divBdr>
                <w:top w:val="none" w:sz="0" w:space="0" w:color="auto"/>
                <w:left w:val="none" w:sz="0" w:space="0" w:color="auto"/>
                <w:bottom w:val="none" w:sz="0" w:space="0" w:color="auto"/>
                <w:right w:val="none" w:sz="0" w:space="0" w:color="auto"/>
              </w:divBdr>
              <w:divsChild>
                <w:div w:id="1227837169">
                  <w:marLeft w:val="0"/>
                  <w:marRight w:val="0"/>
                  <w:marTop w:val="0"/>
                  <w:marBottom w:val="0"/>
                  <w:divBdr>
                    <w:top w:val="none" w:sz="0" w:space="0" w:color="auto"/>
                    <w:left w:val="none" w:sz="0" w:space="0" w:color="auto"/>
                    <w:bottom w:val="none" w:sz="0" w:space="0" w:color="auto"/>
                    <w:right w:val="none" w:sz="0" w:space="0" w:color="auto"/>
                  </w:divBdr>
                  <w:divsChild>
                    <w:div w:id="340280543">
                      <w:marLeft w:val="-75"/>
                      <w:marRight w:val="-75"/>
                      <w:marTop w:val="0"/>
                      <w:marBottom w:val="0"/>
                      <w:divBdr>
                        <w:top w:val="none" w:sz="0" w:space="0" w:color="auto"/>
                        <w:left w:val="none" w:sz="0" w:space="0" w:color="auto"/>
                        <w:bottom w:val="none" w:sz="0" w:space="0" w:color="auto"/>
                        <w:right w:val="none" w:sz="0" w:space="0" w:color="auto"/>
                      </w:divBdr>
                      <w:divsChild>
                        <w:div w:id="49890696">
                          <w:marLeft w:val="0"/>
                          <w:marRight w:val="0"/>
                          <w:marTop w:val="0"/>
                          <w:marBottom w:val="0"/>
                          <w:divBdr>
                            <w:top w:val="none" w:sz="0" w:space="0" w:color="auto"/>
                            <w:left w:val="none" w:sz="0" w:space="0" w:color="auto"/>
                            <w:bottom w:val="none" w:sz="0" w:space="0" w:color="auto"/>
                            <w:right w:val="none" w:sz="0" w:space="0" w:color="auto"/>
                          </w:divBdr>
                          <w:divsChild>
                            <w:div w:id="821317311">
                              <w:marLeft w:val="0"/>
                              <w:marRight w:val="0"/>
                              <w:marTop w:val="0"/>
                              <w:marBottom w:val="0"/>
                              <w:divBdr>
                                <w:top w:val="none" w:sz="0" w:space="0" w:color="auto"/>
                                <w:left w:val="single" w:sz="6" w:space="9" w:color="AFAFAA"/>
                                <w:bottom w:val="none" w:sz="0" w:space="0" w:color="auto"/>
                                <w:right w:val="single" w:sz="6" w:space="9" w:color="AFAFAA"/>
                              </w:divBdr>
                              <w:divsChild>
                                <w:div w:id="127480196">
                                  <w:marLeft w:val="0"/>
                                  <w:marRight w:val="0"/>
                                  <w:marTop w:val="0"/>
                                  <w:marBottom w:val="0"/>
                                  <w:divBdr>
                                    <w:top w:val="none" w:sz="0" w:space="0" w:color="auto"/>
                                    <w:left w:val="none" w:sz="0" w:space="0" w:color="auto"/>
                                    <w:bottom w:val="none" w:sz="0" w:space="0" w:color="auto"/>
                                    <w:right w:val="none" w:sz="0" w:space="0" w:color="auto"/>
                                  </w:divBdr>
                                  <w:divsChild>
                                    <w:div w:id="392966885">
                                      <w:marLeft w:val="0"/>
                                      <w:marRight w:val="0"/>
                                      <w:marTop w:val="0"/>
                                      <w:marBottom w:val="0"/>
                                      <w:divBdr>
                                        <w:top w:val="none" w:sz="0" w:space="0" w:color="auto"/>
                                        <w:left w:val="none" w:sz="0" w:space="0" w:color="auto"/>
                                        <w:bottom w:val="none" w:sz="0" w:space="0" w:color="auto"/>
                                        <w:right w:val="none" w:sz="0" w:space="0" w:color="auto"/>
                                      </w:divBdr>
                                      <w:divsChild>
                                        <w:div w:id="11907247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98531886">
                                              <w:blockQuote w:val="1"/>
                                              <w:marLeft w:val="720"/>
                                              <w:marRight w:val="0"/>
                                              <w:marTop w:val="100"/>
                                              <w:marBottom w:val="100"/>
                                              <w:divBdr>
                                                <w:top w:val="none" w:sz="0" w:space="0" w:color="auto"/>
                                                <w:left w:val="none" w:sz="0" w:space="0" w:color="auto"/>
                                                <w:bottom w:val="none" w:sz="0" w:space="0" w:color="auto"/>
                                                <w:right w:val="none" w:sz="0" w:space="0" w:color="auto"/>
                                              </w:divBdr>
                                            </w:div>
                                            <w:div w:id="1338537256">
                                              <w:blockQuote w:val="1"/>
                                              <w:marLeft w:val="720"/>
                                              <w:marRight w:val="0"/>
                                              <w:marTop w:val="100"/>
                                              <w:marBottom w:val="100"/>
                                              <w:divBdr>
                                                <w:top w:val="none" w:sz="0" w:space="0" w:color="auto"/>
                                                <w:left w:val="none" w:sz="0" w:space="0" w:color="auto"/>
                                                <w:bottom w:val="none" w:sz="0" w:space="0" w:color="auto"/>
                                                <w:right w:val="none" w:sz="0" w:space="0" w:color="auto"/>
                                              </w:divBdr>
                                            </w:div>
                                            <w:div w:id="21443010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6881012">
      <w:bodyDiv w:val="1"/>
      <w:marLeft w:val="0"/>
      <w:marRight w:val="0"/>
      <w:marTop w:val="0"/>
      <w:marBottom w:val="0"/>
      <w:divBdr>
        <w:top w:val="none" w:sz="0" w:space="0" w:color="auto"/>
        <w:left w:val="none" w:sz="0" w:space="0" w:color="auto"/>
        <w:bottom w:val="none" w:sz="0" w:space="0" w:color="auto"/>
        <w:right w:val="none" w:sz="0" w:space="0" w:color="auto"/>
      </w:divBdr>
      <w:divsChild>
        <w:div w:id="742871318">
          <w:marLeft w:val="0"/>
          <w:marRight w:val="120"/>
          <w:marTop w:val="120"/>
          <w:marBottom w:val="0"/>
          <w:divBdr>
            <w:top w:val="single" w:sz="12" w:space="4" w:color="D5E28D"/>
            <w:left w:val="single" w:sz="12" w:space="6" w:color="D5E28D"/>
            <w:bottom w:val="single" w:sz="12" w:space="0" w:color="D5E28D"/>
            <w:right w:val="single" w:sz="12" w:space="6" w:color="D5E28D"/>
          </w:divBdr>
        </w:div>
        <w:div w:id="731539512">
          <w:marLeft w:val="0"/>
          <w:marRight w:val="0"/>
          <w:marTop w:val="0"/>
          <w:marBottom w:val="0"/>
          <w:divBdr>
            <w:top w:val="none" w:sz="0" w:space="0" w:color="auto"/>
            <w:left w:val="none" w:sz="0" w:space="0" w:color="auto"/>
            <w:bottom w:val="none" w:sz="0" w:space="0" w:color="auto"/>
            <w:right w:val="none" w:sz="0" w:space="0" w:color="auto"/>
          </w:divBdr>
          <w:divsChild>
            <w:div w:id="2107272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3427669">
                  <w:marLeft w:val="0"/>
                  <w:marRight w:val="90"/>
                  <w:marTop w:val="0"/>
                  <w:marBottom w:val="0"/>
                  <w:divBdr>
                    <w:top w:val="none" w:sz="0" w:space="0" w:color="auto"/>
                    <w:left w:val="none" w:sz="0" w:space="0" w:color="auto"/>
                    <w:bottom w:val="none" w:sz="0" w:space="0" w:color="auto"/>
                    <w:right w:val="none" w:sz="0" w:space="0" w:color="auto"/>
                  </w:divBdr>
                </w:div>
                <w:div w:id="1074011268">
                  <w:marLeft w:val="0"/>
                  <w:marRight w:val="0"/>
                  <w:marTop w:val="0"/>
                  <w:marBottom w:val="0"/>
                  <w:divBdr>
                    <w:top w:val="none" w:sz="0" w:space="0" w:color="auto"/>
                    <w:left w:val="none" w:sz="0" w:space="0" w:color="auto"/>
                    <w:bottom w:val="none" w:sz="0" w:space="0" w:color="auto"/>
                    <w:right w:val="none" w:sz="0" w:space="0" w:color="auto"/>
                  </w:divBdr>
                </w:div>
              </w:divsChild>
            </w:div>
            <w:div w:id="11198419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5991611">
                  <w:marLeft w:val="0"/>
                  <w:marRight w:val="90"/>
                  <w:marTop w:val="0"/>
                  <w:marBottom w:val="0"/>
                  <w:divBdr>
                    <w:top w:val="none" w:sz="0" w:space="0" w:color="auto"/>
                    <w:left w:val="none" w:sz="0" w:space="0" w:color="auto"/>
                    <w:bottom w:val="none" w:sz="0" w:space="0" w:color="auto"/>
                    <w:right w:val="none" w:sz="0" w:space="0" w:color="auto"/>
                  </w:divBdr>
                </w:div>
                <w:div w:id="114943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8967">
          <w:marLeft w:val="0"/>
          <w:marRight w:val="0"/>
          <w:marTop w:val="120"/>
          <w:marBottom w:val="0"/>
          <w:divBdr>
            <w:top w:val="single" w:sz="12" w:space="2" w:color="D5E28D"/>
            <w:left w:val="single" w:sz="12" w:space="6" w:color="D5E28D"/>
            <w:bottom w:val="single" w:sz="12" w:space="9" w:color="D5E28D"/>
            <w:right w:val="single" w:sz="12" w:space="6" w:color="D5E28D"/>
          </w:divBdr>
        </w:div>
        <w:div w:id="19641163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97795746">
      <w:bodyDiv w:val="1"/>
      <w:marLeft w:val="0"/>
      <w:marRight w:val="0"/>
      <w:marTop w:val="0"/>
      <w:marBottom w:val="0"/>
      <w:divBdr>
        <w:top w:val="none" w:sz="0" w:space="0" w:color="auto"/>
        <w:left w:val="none" w:sz="0" w:space="0" w:color="auto"/>
        <w:bottom w:val="none" w:sz="0" w:space="0" w:color="auto"/>
        <w:right w:val="none" w:sz="0" w:space="0" w:color="auto"/>
      </w:divBdr>
    </w:div>
    <w:div w:id="1179270432">
      <w:bodyDiv w:val="1"/>
      <w:marLeft w:val="0"/>
      <w:marRight w:val="0"/>
      <w:marTop w:val="0"/>
      <w:marBottom w:val="0"/>
      <w:divBdr>
        <w:top w:val="none" w:sz="0" w:space="0" w:color="auto"/>
        <w:left w:val="none" w:sz="0" w:space="0" w:color="auto"/>
        <w:bottom w:val="none" w:sz="0" w:space="0" w:color="auto"/>
        <w:right w:val="none" w:sz="0" w:space="0" w:color="auto"/>
      </w:divBdr>
      <w:divsChild>
        <w:div w:id="1077480797">
          <w:marLeft w:val="0"/>
          <w:marRight w:val="0"/>
          <w:marTop w:val="30"/>
          <w:marBottom w:val="0"/>
          <w:divBdr>
            <w:top w:val="none" w:sz="0" w:space="0" w:color="auto"/>
            <w:left w:val="none" w:sz="0" w:space="0" w:color="auto"/>
            <w:bottom w:val="none" w:sz="0" w:space="0" w:color="auto"/>
            <w:right w:val="none" w:sz="0" w:space="0" w:color="auto"/>
          </w:divBdr>
          <w:divsChild>
            <w:div w:id="1404451072">
              <w:marLeft w:val="0"/>
              <w:marRight w:val="0"/>
              <w:marTop w:val="0"/>
              <w:marBottom w:val="0"/>
              <w:divBdr>
                <w:top w:val="none" w:sz="0" w:space="0" w:color="auto"/>
                <w:left w:val="none" w:sz="0" w:space="0" w:color="auto"/>
                <w:bottom w:val="none" w:sz="0" w:space="0" w:color="auto"/>
                <w:right w:val="none" w:sz="0" w:space="0" w:color="auto"/>
              </w:divBdr>
              <w:divsChild>
                <w:div w:id="889154216">
                  <w:marLeft w:val="0"/>
                  <w:marRight w:val="0"/>
                  <w:marTop w:val="0"/>
                  <w:marBottom w:val="0"/>
                  <w:divBdr>
                    <w:top w:val="none" w:sz="0" w:space="0" w:color="auto"/>
                    <w:left w:val="none" w:sz="0" w:space="0" w:color="auto"/>
                    <w:bottom w:val="none" w:sz="0" w:space="0" w:color="auto"/>
                    <w:right w:val="none" w:sz="0" w:space="0" w:color="auto"/>
                  </w:divBdr>
                  <w:divsChild>
                    <w:div w:id="896008904">
                      <w:marLeft w:val="-75"/>
                      <w:marRight w:val="-75"/>
                      <w:marTop w:val="0"/>
                      <w:marBottom w:val="0"/>
                      <w:divBdr>
                        <w:top w:val="none" w:sz="0" w:space="0" w:color="auto"/>
                        <w:left w:val="none" w:sz="0" w:space="0" w:color="auto"/>
                        <w:bottom w:val="none" w:sz="0" w:space="0" w:color="auto"/>
                        <w:right w:val="none" w:sz="0" w:space="0" w:color="auto"/>
                      </w:divBdr>
                      <w:divsChild>
                        <w:div w:id="809633177">
                          <w:marLeft w:val="0"/>
                          <w:marRight w:val="0"/>
                          <w:marTop w:val="0"/>
                          <w:marBottom w:val="0"/>
                          <w:divBdr>
                            <w:top w:val="none" w:sz="0" w:space="0" w:color="auto"/>
                            <w:left w:val="none" w:sz="0" w:space="0" w:color="auto"/>
                            <w:bottom w:val="none" w:sz="0" w:space="0" w:color="auto"/>
                            <w:right w:val="none" w:sz="0" w:space="0" w:color="auto"/>
                          </w:divBdr>
                          <w:divsChild>
                            <w:div w:id="550657322">
                              <w:marLeft w:val="0"/>
                              <w:marRight w:val="0"/>
                              <w:marTop w:val="0"/>
                              <w:marBottom w:val="0"/>
                              <w:divBdr>
                                <w:top w:val="none" w:sz="0" w:space="0" w:color="auto"/>
                                <w:left w:val="single" w:sz="6" w:space="9" w:color="AFAFAA"/>
                                <w:bottom w:val="none" w:sz="0" w:space="0" w:color="auto"/>
                                <w:right w:val="single" w:sz="6" w:space="9" w:color="AFAFAA"/>
                              </w:divBdr>
                              <w:divsChild>
                                <w:div w:id="645278150">
                                  <w:marLeft w:val="0"/>
                                  <w:marRight w:val="0"/>
                                  <w:marTop w:val="0"/>
                                  <w:marBottom w:val="0"/>
                                  <w:divBdr>
                                    <w:top w:val="none" w:sz="0" w:space="0" w:color="auto"/>
                                    <w:left w:val="none" w:sz="0" w:space="0" w:color="auto"/>
                                    <w:bottom w:val="none" w:sz="0" w:space="0" w:color="auto"/>
                                    <w:right w:val="none" w:sz="0" w:space="0" w:color="auto"/>
                                  </w:divBdr>
                                  <w:divsChild>
                                    <w:div w:id="1453598112">
                                      <w:marLeft w:val="0"/>
                                      <w:marRight w:val="0"/>
                                      <w:marTop w:val="0"/>
                                      <w:marBottom w:val="0"/>
                                      <w:divBdr>
                                        <w:top w:val="none" w:sz="0" w:space="0" w:color="auto"/>
                                        <w:left w:val="none" w:sz="0" w:space="0" w:color="auto"/>
                                        <w:bottom w:val="none" w:sz="0" w:space="0" w:color="auto"/>
                                        <w:right w:val="none" w:sz="0" w:space="0" w:color="auto"/>
                                      </w:divBdr>
                                      <w:divsChild>
                                        <w:div w:id="1335953097">
                                          <w:marLeft w:val="0"/>
                                          <w:marRight w:val="0"/>
                                          <w:marTop w:val="120"/>
                                          <w:marBottom w:val="0"/>
                                          <w:divBdr>
                                            <w:top w:val="single" w:sz="12" w:space="2" w:color="D5E28D"/>
                                            <w:left w:val="single" w:sz="12" w:space="6" w:color="D5E28D"/>
                                            <w:bottom w:val="single" w:sz="12" w:space="9" w:color="D5E28D"/>
                                            <w:right w:val="single" w:sz="12" w:space="6" w:color="D5E28D"/>
                                          </w:divBdr>
                                        </w:div>
                                        <w:div w:id="673457340">
                                          <w:marLeft w:val="0"/>
                                          <w:marRight w:val="0"/>
                                          <w:marTop w:val="0"/>
                                          <w:marBottom w:val="0"/>
                                          <w:divBdr>
                                            <w:top w:val="none" w:sz="0" w:space="0" w:color="auto"/>
                                            <w:left w:val="none" w:sz="0" w:space="0" w:color="auto"/>
                                            <w:bottom w:val="none" w:sz="0" w:space="0" w:color="auto"/>
                                            <w:right w:val="none" w:sz="0" w:space="0" w:color="auto"/>
                                          </w:divBdr>
                                          <w:divsChild>
                                            <w:div w:id="22934317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92276514">
                                                  <w:marLeft w:val="0"/>
                                                  <w:marRight w:val="90"/>
                                                  <w:marTop w:val="0"/>
                                                  <w:marBottom w:val="0"/>
                                                  <w:divBdr>
                                                    <w:top w:val="none" w:sz="0" w:space="0" w:color="auto"/>
                                                    <w:left w:val="none" w:sz="0" w:space="0" w:color="auto"/>
                                                    <w:bottom w:val="none" w:sz="0" w:space="0" w:color="auto"/>
                                                    <w:right w:val="none" w:sz="0" w:space="0" w:color="auto"/>
                                                  </w:divBdr>
                                                </w:div>
                                                <w:div w:id="1190148297">
                                                  <w:marLeft w:val="0"/>
                                                  <w:marRight w:val="0"/>
                                                  <w:marTop w:val="0"/>
                                                  <w:marBottom w:val="0"/>
                                                  <w:divBdr>
                                                    <w:top w:val="none" w:sz="0" w:space="0" w:color="auto"/>
                                                    <w:left w:val="none" w:sz="0" w:space="0" w:color="auto"/>
                                                    <w:bottom w:val="none" w:sz="0" w:space="0" w:color="auto"/>
                                                    <w:right w:val="none" w:sz="0" w:space="0" w:color="auto"/>
                                                  </w:divBdr>
                                                </w:div>
                                              </w:divsChild>
                                            </w:div>
                                            <w:div w:id="148531455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04856085">
                                                  <w:marLeft w:val="0"/>
                                                  <w:marRight w:val="90"/>
                                                  <w:marTop w:val="0"/>
                                                  <w:marBottom w:val="0"/>
                                                  <w:divBdr>
                                                    <w:top w:val="none" w:sz="0" w:space="0" w:color="auto"/>
                                                    <w:left w:val="none" w:sz="0" w:space="0" w:color="auto"/>
                                                    <w:bottom w:val="none" w:sz="0" w:space="0" w:color="auto"/>
                                                    <w:right w:val="none" w:sz="0" w:space="0" w:color="auto"/>
                                                  </w:divBdr>
                                                </w:div>
                                                <w:div w:id="194708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7928">
                                      <w:marLeft w:val="0"/>
                                      <w:marRight w:val="0"/>
                                      <w:marTop w:val="120"/>
                                      <w:marBottom w:val="0"/>
                                      <w:divBdr>
                                        <w:top w:val="single" w:sz="12" w:space="2" w:color="D5E28D"/>
                                        <w:left w:val="single" w:sz="12" w:space="6" w:color="D5E28D"/>
                                        <w:bottom w:val="single" w:sz="12" w:space="9" w:color="D5E28D"/>
                                        <w:right w:val="single" w:sz="12" w:space="6" w:color="D5E28D"/>
                                      </w:divBdr>
                                    </w:div>
                                    <w:div w:id="557326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201015650">
      <w:bodyDiv w:val="1"/>
      <w:marLeft w:val="0"/>
      <w:marRight w:val="0"/>
      <w:marTop w:val="0"/>
      <w:marBottom w:val="0"/>
      <w:divBdr>
        <w:top w:val="none" w:sz="0" w:space="0" w:color="auto"/>
        <w:left w:val="none" w:sz="0" w:space="0" w:color="auto"/>
        <w:bottom w:val="none" w:sz="0" w:space="0" w:color="auto"/>
        <w:right w:val="none" w:sz="0" w:space="0" w:color="auto"/>
      </w:divBdr>
      <w:divsChild>
        <w:div w:id="602347714">
          <w:marLeft w:val="0"/>
          <w:marRight w:val="0"/>
          <w:marTop w:val="30"/>
          <w:marBottom w:val="0"/>
          <w:divBdr>
            <w:top w:val="none" w:sz="0" w:space="0" w:color="auto"/>
            <w:left w:val="none" w:sz="0" w:space="0" w:color="auto"/>
            <w:bottom w:val="none" w:sz="0" w:space="0" w:color="auto"/>
            <w:right w:val="none" w:sz="0" w:space="0" w:color="auto"/>
          </w:divBdr>
          <w:divsChild>
            <w:div w:id="1618635594">
              <w:marLeft w:val="0"/>
              <w:marRight w:val="0"/>
              <w:marTop w:val="0"/>
              <w:marBottom w:val="0"/>
              <w:divBdr>
                <w:top w:val="none" w:sz="0" w:space="0" w:color="auto"/>
                <w:left w:val="none" w:sz="0" w:space="0" w:color="auto"/>
                <w:bottom w:val="none" w:sz="0" w:space="0" w:color="auto"/>
                <w:right w:val="none" w:sz="0" w:space="0" w:color="auto"/>
              </w:divBdr>
              <w:divsChild>
                <w:div w:id="1434861118">
                  <w:marLeft w:val="0"/>
                  <w:marRight w:val="0"/>
                  <w:marTop w:val="0"/>
                  <w:marBottom w:val="0"/>
                  <w:divBdr>
                    <w:top w:val="none" w:sz="0" w:space="0" w:color="auto"/>
                    <w:left w:val="none" w:sz="0" w:space="0" w:color="auto"/>
                    <w:bottom w:val="none" w:sz="0" w:space="0" w:color="auto"/>
                    <w:right w:val="none" w:sz="0" w:space="0" w:color="auto"/>
                  </w:divBdr>
                  <w:divsChild>
                    <w:div w:id="1223177419">
                      <w:marLeft w:val="-75"/>
                      <w:marRight w:val="-75"/>
                      <w:marTop w:val="0"/>
                      <w:marBottom w:val="0"/>
                      <w:divBdr>
                        <w:top w:val="none" w:sz="0" w:space="0" w:color="auto"/>
                        <w:left w:val="none" w:sz="0" w:space="0" w:color="auto"/>
                        <w:bottom w:val="none" w:sz="0" w:space="0" w:color="auto"/>
                        <w:right w:val="none" w:sz="0" w:space="0" w:color="auto"/>
                      </w:divBdr>
                      <w:divsChild>
                        <w:div w:id="1636326492">
                          <w:marLeft w:val="0"/>
                          <w:marRight w:val="0"/>
                          <w:marTop w:val="0"/>
                          <w:marBottom w:val="0"/>
                          <w:divBdr>
                            <w:top w:val="none" w:sz="0" w:space="0" w:color="auto"/>
                            <w:left w:val="none" w:sz="0" w:space="0" w:color="auto"/>
                            <w:bottom w:val="none" w:sz="0" w:space="0" w:color="auto"/>
                            <w:right w:val="none" w:sz="0" w:space="0" w:color="auto"/>
                          </w:divBdr>
                          <w:divsChild>
                            <w:div w:id="836268920">
                              <w:marLeft w:val="0"/>
                              <w:marRight w:val="0"/>
                              <w:marTop w:val="0"/>
                              <w:marBottom w:val="0"/>
                              <w:divBdr>
                                <w:top w:val="none" w:sz="0" w:space="0" w:color="auto"/>
                                <w:left w:val="single" w:sz="6" w:space="9" w:color="AFAFAA"/>
                                <w:bottom w:val="none" w:sz="0" w:space="0" w:color="auto"/>
                                <w:right w:val="single" w:sz="6" w:space="9" w:color="AFAFAA"/>
                              </w:divBdr>
                              <w:divsChild>
                                <w:div w:id="783382481">
                                  <w:marLeft w:val="0"/>
                                  <w:marRight w:val="0"/>
                                  <w:marTop w:val="0"/>
                                  <w:marBottom w:val="0"/>
                                  <w:divBdr>
                                    <w:top w:val="none" w:sz="0" w:space="0" w:color="auto"/>
                                    <w:left w:val="none" w:sz="0" w:space="0" w:color="auto"/>
                                    <w:bottom w:val="none" w:sz="0" w:space="0" w:color="auto"/>
                                    <w:right w:val="none" w:sz="0" w:space="0" w:color="auto"/>
                                  </w:divBdr>
                                  <w:divsChild>
                                    <w:div w:id="1686052627">
                                      <w:marLeft w:val="0"/>
                                      <w:marRight w:val="0"/>
                                      <w:marTop w:val="0"/>
                                      <w:marBottom w:val="0"/>
                                      <w:divBdr>
                                        <w:top w:val="none" w:sz="0" w:space="0" w:color="auto"/>
                                        <w:left w:val="none" w:sz="0" w:space="0" w:color="auto"/>
                                        <w:bottom w:val="none" w:sz="0" w:space="0" w:color="auto"/>
                                        <w:right w:val="none" w:sz="0" w:space="0" w:color="auto"/>
                                      </w:divBdr>
                                      <w:divsChild>
                                        <w:div w:id="1403871922">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7709379">
                                              <w:blockQuote w:val="1"/>
                                              <w:marLeft w:val="720"/>
                                              <w:marRight w:val="0"/>
                                              <w:marTop w:val="100"/>
                                              <w:marBottom w:val="100"/>
                                              <w:divBdr>
                                                <w:top w:val="none" w:sz="0" w:space="0" w:color="auto"/>
                                                <w:left w:val="none" w:sz="0" w:space="0" w:color="auto"/>
                                                <w:bottom w:val="none" w:sz="0" w:space="0" w:color="auto"/>
                                                <w:right w:val="none" w:sz="0" w:space="0" w:color="auto"/>
                                              </w:divBdr>
                                            </w:div>
                                            <w:div w:id="1141069620">
                                              <w:blockQuote w:val="1"/>
                                              <w:marLeft w:val="720"/>
                                              <w:marRight w:val="0"/>
                                              <w:marTop w:val="100"/>
                                              <w:marBottom w:val="100"/>
                                              <w:divBdr>
                                                <w:top w:val="none" w:sz="0" w:space="0" w:color="auto"/>
                                                <w:left w:val="none" w:sz="0" w:space="0" w:color="auto"/>
                                                <w:bottom w:val="none" w:sz="0" w:space="0" w:color="auto"/>
                                                <w:right w:val="none" w:sz="0" w:space="0" w:color="auto"/>
                                              </w:divBdr>
                                            </w:div>
                                            <w:div w:id="209382018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9388728">
      <w:bodyDiv w:val="1"/>
      <w:marLeft w:val="0"/>
      <w:marRight w:val="0"/>
      <w:marTop w:val="0"/>
      <w:marBottom w:val="0"/>
      <w:divBdr>
        <w:top w:val="none" w:sz="0" w:space="0" w:color="auto"/>
        <w:left w:val="none" w:sz="0" w:space="0" w:color="auto"/>
        <w:bottom w:val="none" w:sz="0" w:space="0" w:color="auto"/>
        <w:right w:val="none" w:sz="0" w:space="0" w:color="auto"/>
      </w:divBdr>
      <w:divsChild>
        <w:div w:id="969241006">
          <w:marLeft w:val="0"/>
          <w:marRight w:val="0"/>
          <w:marTop w:val="30"/>
          <w:marBottom w:val="0"/>
          <w:divBdr>
            <w:top w:val="none" w:sz="0" w:space="0" w:color="auto"/>
            <w:left w:val="none" w:sz="0" w:space="0" w:color="auto"/>
            <w:bottom w:val="none" w:sz="0" w:space="0" w:color="auto"/>
            <w:right w:val="none" w:sz="0" w:space="0" w:color="auto"/>
          </w:divBdr>
          <w:divsChild>
            <w:div w:id="311451976">
              <w:marLeft w:val="0"/>
              <w:marRight w:val="0"/>
              <w:marTop w:val="0"/>
              <w:marBottom w:val="0"/>
              <w:divBdr>
                <w:top w:val="none" w:sz="0" w:space="0" w:color="auto"/>
                <w:left w:val="none" w:sz="0" w:space="0" w:color="auto"/>
                <w:bottom w:val="none" w:sz="0" w:space="0" w:color="auto"/>
                <w:right w:val="none" w:sz="0" w:space="0" w:color="auto"/>
              </w:divBdr>
              <w:divsChild>
                <w:div w:id="2057656653">
                  <w:marLeft w:val="0"/>
                  <w:marRight w:val="0"/>
                  <w:marTop w:val="0"/>
                  <w:marBottom w:val="0"/>
                  <w:divBdr>
                    <w:top w:val="none" w:sz="0" w:space="0" w:color="auto"/>
                    <w:left w:val="none" w:sz="0" w:space="0" w:color="auto"/>
                    <w:bottom w:val="none" w:sz="0" w:space="0" w:color="auto"/>
                    <w:right w:val="none" w:sz="0" w:space="0" w:color="auto"/>
                  </w:divBdr>
                  <w:divsChild>
                    <w:div w:id="1815947540">
                      <w:marLeft w:val="-75"/>
                      <w:marRight w:val="-75"/>
                      <w:marTop w:val="0"/>
                      <w:marBottom w:val="0"/>
                      <w:divBdr>
                        <w:top w:val="none" w:sz="0" w:space="0" w:color="auto"/>
                        <w:left w:val="none" w:sz="0" w:space="0" w:color="auto"/>
                        <w:bottom w:val="none" w:sz="0" w:space="0" w:color="auto"/>
                        <w:right w:val="none" w:sz="0" w:space="0" w:color="auto"/>
                      </w:divBdr>
                      <w:divsChild>
                        <w:div w:id="1779520767">
                          <w:marLeft w:val="0"/>
                          <w:marRight w:val="0"/>
                          <w:marTop w:val="0"/>
                          <w:marBottom w:val="0"/>
                          <w:divBdr>
                            <w:top w:val="none" w:sz="0" w:space="0" w:color="auto"/>
                            <w:left w:val="none" w:sz="0" w:space="0" w:color="auto"/>
                            <w:bottom w:val="none" w:sz="0" w:space="0" w:color="auto"/>
                            <w:right w:val="none" w:sz="0" w:space="0" w:color="auto"/>
                          </w:divBdr>
                          <w:divsChild>
                            <w:div w:id="537084428">
                              <w:marLeft w:val="0"/>
                              <w:marRight w:val="0"/>
                              <w:marTop w:val="0"/>
                              <w:marBottom w:val="0"/>
                              <w:divBdr>
                                <w:top w:val="none" w:sz="0" w:space="0" w:color="auto"/>
                                <w:left w:val="single" w:sz="6" w:space="9" w:color="AFAFAA"/>
                                <w:bottom w:val="none" w:sz="0" w:space="0" w:color="auto"/>
                                <w:right w:val="single" w:sz="6" w:space="9" w:color="AFAFAA"/>
                              </w:divBdr>
                              <w:divsChild>
                                <w:div w:id="1044447980">
                                  <w:marLeft w:val="0"/>
                                  <w:marRight w:val="0"/>
                                  <w:marTop w:val="0"/>
                                  <w:marBottom w:val="0"/>
                                  <w:divBdr>
                                    <w:top w:val="none" w:sz="0" w:space="0" w:color="auto"/>
                                    <w:left w:val="none" w:sz="0" w:space="0" w:color="auto"/>
                                    <w:bottom w:val="none" w:sz="0" w:space="0" w:color="auto"/>
                                    <w:right w:val="none" w:sz="0" w:space="0" w:color="auto"/>
                                  </w:divBdr>
                                  <w:divsChild>
                                    <w:div w:id="1532106682">
                                      <w:marLeft w:val="0"/>
                                      <w:marRight w:val="0"/>
                                      <w:marTop w:val="0"/>
                                      <w:marBottom w:val="0"/>
                                      <w:divBdr>
                                        <w:top w:val="none" w:sz="0" w:space="0" w:color="auto"/>
                                        <w:left w:val="none" w:sz="0" w:space="0" w:color="auto"/>
                                        <w:bottom w:val="none" w:sz="0" w:space="0" w:color="auto"/>
                                        <w:right w:val="none" w:sz="0" w:space="0" w:color="auto"/>
                                      </w:divBdr>
                                      <w:divsChild>
                                        <w:div w:id="68258526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16751673">
                                              <w:blockQuote w:val="1"/>
                                              <w:marLeft w:val="720"/>
                                              <w:marRight w:val="0"/>
                                              <w:marTop w:val="100"/>
                                              <w:marBottom w:val="100"/>
                                              <w:divBdr>
                                                <w:top w:val="none" w:sz="0" w:space="0" w:color="auto"/>
                                                <w:left w:val="none" w:sz="0" w:space="0" w:color="auto"/>
                                                <w:bottom w:val="none" w:sz="0" w:space="0" w:color="auto"/>
                                                <w:right w:val="none" w:sz="0" w:space="0" w:color="auto"/>
                                              </w:divBdr>
                                            </w:div>
                                            <w:div w:id="798571793">
                                              <w:blockQuote w:val="1"/>
                                              <w:marLeft w:val="720"/>
                                              <w:marRight w:val="0"/>
                                              <w:marTop w:val="100"/>
                                              <w:marBottom w:val="100"/>
                                              <w:divBdr>
                                                <w:top w:val="none" w:sz="0" w:space="0" w:color="auto"/>
                                                <w:left w:val="none" w:sz="0" w:space="0" w:color="auto"/>
                                                <w:bottom w:val="none" w:sz="0" w:space="0" w:color="auto"/>
                                                <w:right w:val="none" w:sz="0" w:space="0" w:color="auto"/>
                                              </w:divBdr>
                                            </w:div>
                                            <w:div w:id="39008082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6527338">
      <w:bodyDiv w:val="1"/>
      <w:marLeft w:val="0"/>
      <w:marRight w:val="0"/>
      <w:marTop w:val="0"/>
      <w:marBottom w:val="0"/>
      <w:divBdr>
        <w:top w:val="none" w:sz="0" w:space="0" w:color="auto"/>
        <w:left w:val="none" w:sz="0" w:space="0" w:color="auto"/>
        <w:bottom w:val="none" w:sz="0" w:space="0" w:color="auto"/>
        <w:right w:val="none" w:sz="0" w:space="0" w:color="auto"/>
      </w:divBdr>
      <w:divsChild>
        <w:div w:id="583029545">
          <w:marLeft w:val="0"/>
          <w:marRight w:val="120"/>
          <w:marTop w:val="120"/>
          <w:marBottom w:val="0"/>
          <w:divBdr>
            <w:top w:val="single" w:sz="12" w:space="4" w:color="D5E28D"/>
            <w:left w:val="single" w:sz="12" w:space="6" w:color="D5E28D"/>
            <w:bottom w:val="single" w:sz="12" w:space="0" w:color="D5E28D"/>
            <w:right w:val="single" w:sz="12" w:space="6" w:color="D5E28D"/>
          </w:divBdr>
        </w:div>
        <w:div w:id="701980834">
          <w:marLeft w:val="0"/>
          <w:marRight w:val="0"/>
          <w:marTop w:val="0"/>
          <w:marBottom w:val="0"/>
          <w:divBdr>
            <w:top w:val="none" w:sz="0" w:space="0" w:color="auto"/>
            <w:left w:val="none" w:sz="0" w:space="0" w:color="auto"/>
            <w:bottom w:val="none" w:sz="0" w:space="0" w:color="auto"/>
            <w:right w:val="none" w:sz="0" w:space="0" w:color="auto"/>
          </w:divBdr>
          <w:divsChild>
            <w:div w:id="686238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3348386">
                  <w:marLeft w:val="0"/>
                  <w:marRight w:val="90"/>
                  <w:marTop w:val="0"/>
                  <w:marBottom w:val="0"/>
                  <w:divBdr>
                    <w:top w:val="none" w:sz="0" w:space="0" w:color="auto"/>
                    <w:left w:val="none" w:sz="0" w:space="0" w:color="auto"/>
                    <w:bottom w:val="none" w:sz="0" w:space="0" w:color="auto"/>
                    <w:right w:val="none" w:sz="0" w:space="0" w:color="auto"/>
                  </w:divBdr>
                </w:div>
                <w:div w:id="966005534">
                  <w:marLeft w:val="0"/>
                  <w:marRight w:val="0"/>
                  <w:marTop w:val="0"/>
                  <w:marBottom w:val="0"/>
                  <w:divBdr>
                    <w:top w:val="none" w:sz="0" w:space="0" w:color="auto"/>
                    <w:left w:val="none" w:sz="0" w:space="0" w:color="auto"/>
                    <w:bottom w:val="none" w:sz="0" w:space="0" w:color="auto"/>
                    <w:right w:val="none" w:sz="0" w:space="0" w:color="auto"/>
                  </w:divBdr>
                </w:div>
              </w:divsChild>
            </w:div>
            <w:div w:id="177755921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2167401">
                  <w:marLeft w:val="0"/>
                  <w:marRight w:val="90"/>
                  <w:marTop w:val="0"/>
                  <w:marBottom w:val="0"/>
                  <w:divBdr>
                    <w:top w:val="none" w:sz="0" w:space="0" w:color="auto"/>
                    <w:left w:val="none" w:sz="0" w:space="0" w:color="auto"/>
                    <w:bottom w:val="none" w:sz="0" w:space="0" w:color="auto"/>
                    <w:right w:val="none" w:sz="0" w:space="0" w:color="auto"/>
                  </w:divBdr>
                </w:div>
                <w:div w:id="68113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91955">
          <w:marLeft w:val="0"/>
          <w:marRight w:val="0"/>
          <w:marTop w:val="120"/>
          <w:marBottom w:val="0"/>
          <w:divBdr>
            <w:top w:val="single" w:sz="12" w:space="2" w:color="D5E28D"/>
            <w:left w:val="single" w:sz="12" w:space="6" w:color="D5E28D"/>
            <w:bottom w:val="single" w:sz="12" w:space="9" w:color="D5E28D"/>
            <w:right w:val="single" w:sz="12" w:space="6" w:color="D5E28D"/>
          </w:divBdr>
        </w:div>
        <w:div w:id="6245839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49828770">
      <w:bodyDiv w:val="1"/>
      <w:marLeft w:val="0"/>
      <w:marRight w:val="0"/>
      <w:marTop w:val="0"/>
      <w:marBottom w:val="0"/>
      <w:divBdr>
        <w:top w:val="none" w:sz="0" w:space="0" w:color="auto"/>
        <w:left w:val="none" w:sz="0" w:space="0" w:color="auto"/>
        <w:bottom w:val="none" w:sz="0" w:space="0" w:color="auto"/>
        <w:right w:val="none" w:sz="0" w:space="0" w:color="auto"/>
      </w:divBdr>
      <w:divsChild>
        <w:div w:id="1172255764">
          <w:marLeft w:val="0"/>
          <w:marRight w:val="0"/>
          <w:marTop w:val="30"/>
          <w:marBottom w:val="0"/>
          <w:divBdr>
            <w:top w:val="none" w:sz="0" w:space="0" w:color="auto"/>
            <w:left w:val="none" w:sz="0" w:space="0" w:color="auto"/>
            <w:bottom w:val="none" w:sz="0" w:space="0" w:color="auto"/>
            <w:right w:val="none" w:sz="0" w:space="0" w:color="auto"/>
          </w:divBdr>
          <w:divsChild>
            <w:div w:id="1889147164">
              <w:marLeft w:val="0"/>
              <w:marRight w:val="0"/>
              <w:marTop w:val="0"/>
              <w:marBottom w:val="0"/>
              <w:divBdr>
                <w:top w:val="none" w:sz="0" w:space="0" w:color="auto"/>
                <w:left w:val="none" w:sz="0" w:space="0" w:color="auto"/>
                <w:bottom w:val="none" w:sz="0" w:space="0" w:color="auto"/>
                <w:right w:val="none" w:sz="0" w:space="0" w:color="auto"/>
              </w:divBdr>
              <w:divsChild>
                <w:div w:id="450175585">
                  <w:marLeft w:val="0"/>
                  <w:marRight w:val="0"/>
                  <w:marTop w:val="0"/>
                  <w:marBottom w:val="0"/>
                  <w:divBdr>
                    <w:top w:val="none" w:sz="0" w:space="0" w:color="auto"/>
                    <w:left w:val="none" w:sz="0" w:space="0" w:color="auto"/>
                    <w:bottom w:val="none" w:sz="0" w:space="0" w:color="auto"/>
                    <w:right w:val="none" w:sz="0" w:space="0" w:color="auto"/>
                  </w:divBdr>
                  <w:divsChild>
                    <w:div w:id="1333992487">
                      <w:marLeft w:val="-75"/>
                      <w:marRight w:val="-75"/>
                      <w:marTop w:val="0"/>
                      <w:marBottom w:val="0"/>
                      <w:divBdr>
                        <w:top w:val="none" w:sz="0" w:space="0" w:color="auto"/>
                        <w:left w:val="none" w:sz="0" w:space="0" w:color="auto"/>
                        <w:bottom w:val="none" w:sz="0" w:space="0" w:color="auto"/>
                        <w:right w:val="none" w:sz="0" w:space="0" w:color="auto"/>
                      </w:divBdr>
                      <w:divsChild>
                        <w:div w:id="1639804000">
                          <w:marLeft w:val="0"/>
                          <w:marRight w:val="0"/>
                          <w:marTop w:val="0"/>
                          <w:marBottom w:val="0"/>
                          <w:divBdr>
                            <w:top w:val="none" w:sz="0" w:space="0" w:color="auto"/>
                            <w:left w:val="none" w:sz="0" w:space="0" w:color="auto"/>
                            <w:bottom w:val="none" w:sz="0" w:space="0" w:color="auto"/>
                            <w:right w:val="none" w:sz="0" w:space="0" w:color="auto"/>
                          </w:divBdr>
                          <w:divsChild>
                            <w:div w:id="1538467405">
                              <w:marLeft w:val="0"/>
                              <w:marRight w:val="0"/>
                              <w:marTop w:val="0"/>
                              <w:marBottom w:val="0"/>
                              <w:divBdr>
                                <w:top w:val="none" w:sz="0" w:space="0" w:color="auto"/>
                                <w:left w:val="single" w:sz="6" w:space="9" w:color="AFAFAA"/>
                                <w:bottom w:val="none" w:sz="0" w:space="0" w:color="auto"/>
                                <w:right w:val="single" w:sz="6" w:space="9" w:color="AFAFAA"/>
                              </w:divBdr>
                              <w:divsChild>
                                <w:div w:id="1589383305">
                                  <w:marLeft w:val="0"/>
                                  <w:marRight w:val="0"/>
                                  <w:marTop w:val="0"/>
                                  <w:marBottom w:val="0"/>
                                  <w:divBdr>
                                    <w:top w:val="none" w:sz="0" w:space="0" w:color="auto"/>
                                    <w:left w:val="none" w:sz="0" w:space="0" w:color="auto"/>
                                    <w:bottom w:val="none" w:sz="0" w:space="0" w:color="auto"/>
                                    <w:right w:val="none" w:sz="0" w:space="0" w:color="auto"/>
                                  </w:divBdr>
                                  <w:divsChild>
                                    <w:div w:id="1027703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ps.charitycommission.gov.uk/schemesdefault.aspx"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guidance/charity-trustee-disqualific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uidance/charity-trustee-disqualifi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the-essential-trustee-what-you-need-to-know-cc3" TargetMode="External"/><Relationship Id="rId5" Type="http://schemas.openxmlformats.org/officeDocument/2006/relationships/settings" Target="settings.xml"/><Relationship Id="rId15" Type="http://schemas.openxmlformats.org/officeDocument/2006/relationships/hyperlink" Target="http://www.legislation.gov.uk/ukpga/2011/25/section/339" TargetMode="External"/><Relationship Id="rId10" Type="http://schemas.openxmlformats.org/officeDocument/2006/relationships/hyperlink" Target="http://ogs.charitycommission.gov.uk/g525a001.aspx"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ogs.charitycommission.gov.uk/g736a001.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F17F43639B434A86C9BCD1CA9033A3"/>
        <w:category>
          <w:name w:val="General"/>
          <w:gallery w:val="placeholder"/>
        </w:category>
        <w:types>
          <w:type w:val="bbPlcHdr"/>
        </w:types>
        <w:behaviors>
          <w:behavior w:val="content"/>
        </w:behaviors>
        <w:guid w:val="{896E54AE-3CDE-41FE-BFCC-65BC0796C43A}"/>
      </w:docPartPr>
      <w:docPartBody>
        <w:p w:rsidR="00675E35" w:rsidRDefault="008A2EE4" w:rsidP="008A2EE4">
          <w:pPr>
            <w:pStyle w:val="50F17F43639B434A86C9BCD1CA9033A3"/>
          </w:pPr>
          <w:r>
            <w:rPr>
              <w:rFonts w:asciiTheme="majorHAnsi" w:eastAsiaTheme="majorEastAsia" w:hAnsiTheme="majorHAnsi" w:cstheme="majorBidi"/>
              <w:color w:val="156082" w:themeColor="accent1"/>
              <w:sz w:val="88"/>
              <w:szCs w:val="88"/>
            </w:rPr>
            <w:t>[Document title]</w:t>
          </w:r>
        </w:p>
      </w:docPartBody>
    </w:docPart>
    <w:docPart>
      <w:docPartPr>
        <w:name w:val="4B409E2D294343C8B9EC00FBACF889E5"/>
        <w:category>
          <w:name w:val="General"/>
          <w:gallery w:val="placeholder"/>
        </w:category>
        <w:types>
          <w:type w:val="bbPlcHdr"/>
        </w:types>
        <w:behaviors>
          <w:behavior w:val="content"/>
        </w:behaviors>
        <w:guid w:val="{47E6EBBC-464A-480D-9648-0683E4F0A896}"/>
      </w:docPartPr>
      <w:docPartBody>
        <w:p w:rsidR="00675E35" w:rsidRDefault="008A2EE4" w:rsidP="008A2EE4">
          <w:pPr>
            <w:pStyle w:val="4B409E2D294343C8B9EC00FBACF889E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EE4"/>
    <w:rsid w:val="00353939"/>
    <w:rsid w:val="003A345E"/>
    <w:rsid w:val="00553E47"/>
    <w:rsid w:val="00675E35"/>
    <w:rsid w:val="008A2EE4"/>
    <w:rsid w:val="00F06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17F43639B434A86C9BCD1CA9033A3">
    <w:name w:val="50F17F43639B434A86C9BCD1CA9033A3"/>
    <w:rsid w:val="008A2EE4"/>
  </w:style>
  <w:style w:type="paragraph" w:customStyle="1" w:styleId="4B409E2D294343C8B9EC00FBACF889E5">
    <w:name w:val="4B409E2D294343C8B9EC00FBACF889E5"/>
    <w:rsid w:val="008A2EE4"/>
  </w:style>
  <w:style w:type="paragraph" w:customStyle="1" w:styleId="93F6E26A4A1E448C89C18EF737B10915">
    <w:name w:val="93F6E26A4A1E448C89C18EF737B10915"/>
    <w:rsid w:val="00553E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A9901246</value>
    </field>
    <field name="Objective-Title">
      <value order="0">OG525 - Web - 12122019</value>
    </field>
    <field name="Objective-Description">
      <value order="0"/>
    </field>
    <field name="Objective-CreationStamp">
      <value order="0">2019-12-12T14:19:46Z</value>
    </field>
    <field name="Objective-IsApproved">
      <value order="0">false</value>
    </field>
    <field name="Objective-IsPublished">
      <value order="0">false</value>
    </field>
    <field name="Objective-DatePublished">
      <value order="0"/>
    </field>
    <field name="Objective-ModificationStamp">
      <value order="0">2024-01-09T08:10:52Z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vA15816436</value>
    </field>
    <field name="Objective-Version">
      <value order="0">5.1</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OG525 -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11F254EC-AD09-4C41-907F-08A969C6A44F}">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5518</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Charities Act 2011 s.181A-Power to disqualify from being a trustee</vt:lpstr>
    </vt:vector>
  </TitlesOfParts>
  <Company/>
  <LinksUpToDate>false</LinksUpToDate>
  <CharactersWithSpaces>36898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Charities Act 2011 s.181A-Power to disqualify from being a trustee</dc:title>
  <dc:subject>OG525</dc:subject>
  <dc:creator>George Bateman</dc:creator>
  <cp:keywords/>
  <dc:description/>
  <cp:lastModifiedBy>Daniel Rimmer</cp:lastModifiedBy>
  <cp:revision>2</cp:revision>
  <dcterms:created xsi:type="dcterms:W3CDTF">2025-07-04T09:06:00Z</dcterms:created>
  <dcterms:modified xsi:type="dcterms:W3CDTF">2025-07-04T09:06:00Z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A9901246</vt:lpwstr>
  </property>
  <property fmtid="{D5CDD505-2E9C-101B-9397-08002B2CF9AE}" pid="4" name="Objective-Title">
    <vt:lpwstr>OG525 - Web - 12122019</vt:lpwstr>
  </property>
  <property fmtid="{D5CDD505-2E9C-101B-9397-08002B2CF9AE}" pid="5" name="Objective-Description">
    <vt:lpwstr/>
  </property>
  <property fmtid="{D5CDD505-2E9C-101B-9397-08002B2CF9AE}" pid="6" name="Objective-CreationStamp">
    <vt:filetime>2019-12-12T15:56:30Z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2024-01-09T08:10:52Z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vA15816436</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OG525 -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